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41756" w14:textId="66F8B7A2" w:rsidR="003631DE" w:rsidRPr="003631DE" w:rsidRDefault="003631DE" w:rsidP="003631DE">
      <w:pPr>
        <w:tabs>
          <w:tab w:val="left" w:pos="814"/>
          <w:tab w:val="right" w:pos="14004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631DE">
        <w:rPr>
          <w:rFonts w:ascii="Times New Roman" w:eastAsia="Calibri" w:hAnsi="Times New Roman" w:cs="Times New Roman"/>
          <w:noProof/>
          <w:kern w:val="0"/>
          <w:lang w:eastAsia="pl-PL"/>
          <w14:ligatures w14:val="none"/>
        </w:rPr>
        <w:drawing>
          <wp:inline distT="0" distB="0" distL="0" distR="0" wp14:anchorId="1873EA92" wp14:editId="45975394">
            <wp:extent cx="5734050" cy="619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FE893" w14:textId="1FABD656" w:rsidR="003631DE" w:rsidRPr="003631DE" w:rsidRDefault="003631DE" w:rsidP="003631DE">
      <w:pPr>
        <w:tabs>
          <w:tab w:val="left" w:pos="814"/>
          <w:tab w:val="right" w:pos="14004"/>
        </w:tabs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631D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DZP-271-</w:t>
      </w:r>
      <w:r w:rsidR="00977BD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8</w:t>
      </w:r>
      <w:r w:rsidRPr="003631D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/2026</w:t>
      </w:r>
      <w:r w:rsidR="00D81A7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ab/>
      </w:r>
      <w:r w:rsidRPr="003631DE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Załącznik nr 1.3 do SWZ</w:t>
      </w:r>
    </w:p>
    <w:p w14:paraId="324A414B" w14:textId="77777777" w:rsidR="003631DE" w:rsidRPr="003631DE" w:rsidRDefault="003631DE" w:rsidP="003631DE">
      <w:pPr>
        <w:tabs>
          <w:tab w:val="left" w:pos="814"/>
          <w:tab w:val="right" w:pos="14004"/>
        </w:tabs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5B7B7AE" w14:textId="77777777" w:rsidR="003631DE" w:rsidRPr="003631DE" w:rsidRDefault="003631DE" w:rsidP="003631DE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631DE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OPIS PRZEDMIOT ZAMÓWIENIA – FORMULARZ OFERTY SZCZEGÓŁOWY</w:t>
      </w:r>
    </w:p>
    <w:p w14:paraId="540E7B75" w14:textId="77777777" w:rsidR="003631DE" w:rsidRPr="003631DE" w:rsidRDefault="003631DE" w:rsidP="003631DE">
      <w:pPr>
        <w:tabs>
          <w:tab w:val="left" w:pos="-138"/>
        </w:tabs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AA30AE6" w14:textId="528CC588" w:rsidR="003631DE" w:rsidRPr="003631DE" w:rsidRDefault="003631DE" w:rsidP="003631DE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3631DE">
        <w:rPr>
          <w:rFonts w:ascii="Times New Roman" w:eastAsia="Calibri" w:hAnsi="Times New Roman" w:cs="Times New Roman"/>
          <w:kern w:val="0"/>
          <w14:ligatures w14:val="none"/>
        </w:rPr>
        <w:t xml:space="preserve">Przedmiotem zamówienia jest dostawa: </w:t>
      </w:r>
      <w:r w:rsidR="00977BDB" w:rsidRPr="00977BDB">
        <w:rPr>
          <w:rFonts w:ascii="Times New Roman" w:eastAsia="Calibri" w:hAnsi="Times New Roman" w:cs="Times New Roman"/>
          <w:b/>
          <w:bCs/>
          <w:kern w:val="0"/>
          <w14:ligatures w14:val="none"/>
        </w:rPr>
        <w:t>„Sprzętu serwerowo-sieciowego, sprzętu komputerowego”, w ramach Projektu grantowego nr FENX.06.01-IP.03-0001/23 pn. „Wsparcie podstawowej opieki zdrowotnej (POZ)”- na podstawie Umowy nr 06OW/7424/I/2024”.</w:t>
      </w:r>
    </w:p>
    <w:p w14:paraId="6BE5F9C3" w14:textId="77777777" w:rsidR="003631DE" w:rsidRPr="003631DE" w:rsidRDefault="003631DE" w:rsidP="003631DE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70AB905E" w14:textId="77777777" w:rsidR="003631DE" w:rsidRPr="003631DE" w:rsidRDefault="003631DE" w:rsidP="003631DE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0CE60F6" w14:textId="77777777" w:rsidR="003631DE" w:rsidRPr="003631DE" w:rsidRDefault="003631DE" w:rsidP="003631DE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3631DE">
        <w:rPr>
          <w:rFonts w:ascii="Times New Roman" w:eastAsia="Calibri" w:hAnsi="Times New Roman" w:cs="Times New Roman"/>
          <w:kern w:val="0"/>
          <w14:ligatures w14:val="none"/>
        </w:rPr>
        <w:t>Zamawiający wymaga, aby wszystkie urządzenia:</w:t>
      </w:r>
    </w:p>
    <w:p w14:paraId="086A65C2" w14:textId="77777777" w:rsidR="003631DE" w:rsidRPr="003631DE" w:rsidRDefault="003631DE" w:rsidP="003631DE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3631DE">
        <w:rPr>
          <w:rFonts w:ascii="Times New Roman" w:eastAsia="Calibri" w:hAnsi="Times New Roman" w:cs="Times New Roman"/>
          <w:kern w:val="0"/>
          <w14:ligatures w14:val="none"/>
        </w:rPr>
        <w:t>były fabrycznie nowe, bez wad i uszkodzeń, niegenerowane, nieużywane i nie będące przedmiotem wystaw i prezentacji;</w:t>
      </w:r>
    </w:p>
    <w:p w14:paraId="74CE7347" w14:textId="77777777" w:rsidR="003631DE" w:rsidRPr="003631DE" w:rsidRDefault="003631DE" w:rsidP="003631DE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3631DE">
        <w:rPr>
          <w:rFonts w:ascii="Times New Roman" w:eastAsia="Calibri" w:hAnsi="Times New Roman" w:cs="Times New Roman"/>
          <w:kern w:val="0"/>
          <w14:ligatures w14:val="none"/>
        </w:rPr>
        <w:t>pochodziły z oficjalnego europejskiego kanału dystrybucji z przeznaczeniem na rynek Polski;</w:t>
      </w:r>
    </w:p>
    <w:p w14:paraId="2F297227" w14:textId="77777777" w:rsidR="003631DE" w:rsidRPr="003631DE" w:rsidRDefault="003631DE" w:rsidP="003631DE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3631DE">
        <w:rPr>
          <w:rFonts w:ascii="Times New Roman" w:eastAsia="Calibri" w:hAnsi="Times New Roman" w:cs="Times New Roman"/>
          <w:kern w:val="0"/>
          <w14:ligatures w14:val="none"/>
        </w:rPr>
        <w:t>były dostarczane przez Wykonawcę własnym środkiem transportu i na własny koszt w miejsce wskazane przez Zamawiającego;</w:t>
      </w:r>
    </w:p>
    <w:p w14:paraId="640D0E12" w14:textId="77777777" w:rsidR="003631DE" w:rsidRPr="003631DE" w:rsidRDefault="003631DE" w:rsidP="003631DE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3631DE">
        <w:rPr>
          <w:rFonts w:ascii="Times New Roman" w:eastAsia="Calibri" w:hAnsi="Times New Roman" w:cs="Times New Roman"/>
          <w:kern w:val="0"/>
          <w14:ligatures w14:val="none"/>
        </w:rPr>
        <w:t>wszystkie urządzenia muszą być dostarczone w oryginalnych opakowaniach producenta;</w:t>
      </w:r>
    </w:p>
    <w:p w14:paraId="63E1A273" w14:textId="77777777" w:rsidR="003631DE" w:rsidRPr="003631DE" w:rsidRDefault="003631DE" w:rsidP="003631DE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3631DE">
        <w:rPr>
          <w:rFonts w:ascii="Times New Roman" w:eastAsia="Calibri" w:hAnsi="Times New Roman" w:cs="Times New Roman"/>
          <w:kern w:val="0"/>
          <w14:ligatures w14:val="none"/>
        </w:rPr>
        <w:t xml:space="preserve">dostarczony sprzęt powinien być kompletny i gotowy do uruchomienia, bez konieczności zakupu dodatkowych elementów i akcesoriów. </w:t>
      </w:r>
    </w:p>
    <w:p w14:paraId="7DB3BCA8" w14:textId="77777777" w:rsidR="003631DE" w:rsidRPr="003631DE" w:rsidRDefault="003631DE" w:rsidP="003631DE">
      <w:pPr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</w:pPr>
    </w:p>
    <w:p w14:paraId="0FE4657A" w14:textId="2598CAC6" w:rsidR="003631DE" w:rsidRPr="003631DE" w:rsidRDefault="003631DE" w:rsidP="003631DE">
      <w:pPr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</w:pPr>
      <w:r w:rsidRPr="003631DE"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  <w:t xml:space="preserve">Zadanie nr 3. Urządzenie sieciowe typu </w:t>
      </w:r>
      <w:proofErr w:type="spellStart"/>
      <w:r w:rsidRPr="003631DE"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  <w:t>switch</w:t>
      </w:r>
      <w:proofErr w:type="spellEnd"/>
      <w:r w:rsidR="002252DF"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  <w:t xml:space="preserve"> – 3</w:t>
      </w:r>
      <w:r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  <w:t xml:space="preserve"> szt. </w:t>
      </w:r>
    </w:p>
    <w:p w14:paraId="03105F4B" w14:textId="70437169" w:rsidR="003631DE" w:rsidRPr="00633275" w:rsidRDefault="003631DE" w:rsidP="003631DE">
      <w:pPr>
        <w:rPr>
          <w:rFonts w:ascii="Times New Roman" w:eastAsia="Calibri" w:hAnsi="Times New Roman" w:cs="Times New Roman"/>
          <w:i/>
          <w:iCs/>
          <w:kern w:val="0"/>
          <w:lang w:eastAsia="pl-PL"/>
          <w14:ligatures w14:val="none"/>
        </w:rPr>
      </w:pPr>
      <w:r w:rsidRPr="00633275">
        <w:rPr>
          <w:rFonts w:ascii="Times New Roman" w:eastAsia="Calibri" w:hAnsi="Times New Roman" w:cs="Times New Roman"/>
          <w:i/>
          <w:iCs/>
          <w:kern w:val="0"/>
          <w:lang w:eastAsia="pl-PL"/>
          <w14:ligatures w14:val="none"/>
        </w:rPr>
        <w:t xml:space="preserve">Kod CPV: </w:t>
      </w:r>
      <w:hyperlink r:id="rId9" w:history="1">
        <w:r w:rsidRPr="00633275">
          <w:rPr>
            <w:rStyle w:val="Hipercze"/>
            <w:rFonts w:ascii="Times New Roman" w:eastAsia="Calibri" w:hAnsi="Times New Roman" w:cs="Times New Roman"/>
            <w:i/>
            <w:iCs/>
            <w:color w:val="auto"/>
            <w:kern w:val="0"/>
            <w:u w:val="none"/>
            <w:lang w:eastAsia="pl-PL"/>
            <w14:ligatures w14:val="none"/>
          </w:rPr>
          <w:t>32420000-3</w:t>
        </w:r>
      </w:hyperlink>
      <w:r w:rsidRPr="00633275">
        <w:rPr>
          <w:rFonts w:ascii="Times New Roman" w:eastAsia="Calibri" w:hAnsi="Times New Roman" w:cs="Times New Roman"/>
          <w:i/>
          <w:iCs/>
          <w:kern w:val="0"/>
          <w:lang w:eastAsia="pl-PL"/>
          <w14:ligatures w14:val="none"/>
        </w:rPr>
        <w:t xml:space="preserve"> - </w:t>
      </w:r>
      <w:r w:rsidR="00633275" w:rsidRPr="00633275">
        <w:rPr>
          <w:rFonts w:ascii="Times New Roman" w:eastAsia="Calibri" w:hAnsi="Times New Roman" w:cs="Times New Roman"/>
          <w:i/>
          <w:iCs/>
          <w:kern w:val="0"/>
          <w:lang w:eastAsia="pl-PL"/>
          <w14:ligatures w14:val="none"/>
        </w:rPr>
        <w:t>Urządzenia sieciowe</w:t>
      </w:r>
    </w:p>
    <w:p w14:paraId="7F1297B0" w14:textId="77777777" w:rsidR="003631DE" w:rsidRPr="003631DE" w:rsidRDefault="003631DE" w:rsidP="003631DE">
      <w:pPr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</w:pPr>
    </w:p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567"/>
        <w:gridCol w:w="3263"/>
        <w:gridCol w:w="2761"/>
        <w:gridCol w:w="984"/>
        <w:gridCol w:w="1281"/>
        <w:gridCol w:w="1224"/>
        <w:gridCol w:w="1253"/>
        <w:gridCol w:w="12"/>
        <w:gridCol w:w="1259"/>
        <w:gridCol w:w="6"/>
        <w:gridCol w:w="1265"/>
      </w:tblGrid>
      <w:tr w:rsidR="003631DE" w:rsidRPr="003631DE" w14:paraId="4F060A66" w14:textId="77777777" w:rsidTr="003631DE">
        <w:trPr>
          <w:trHeight w:val="653"/>
        </w:trPr>
        <w:tc>
          <w:tcPr>
            <w:tcW w:w="567" w:type="dxa"/>
            <w:shd w:val="clear" w:color="auto" w:fill="D9D9D9" w:themeFill="background1" w:themeFillShade="D9"/>
          </w:tcPr>
          <w:p w14:paraId="4815A6CD" w14:textId="77777777" w:rsidR="003631DE" w:rsidRPr="003631DE" w:rsidRDefault="003631DE" w:rsidP="003631D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3263" w:type="dxa"/>
            <w:shd w:val="clear" w:color="auto" w:fill="D9D9D9" w:themeFill="background1" w:themeFillShade="D9"/>
          </w:tcPr>
          <w:p w14:paraId="01ACEA22" w14:textId="77777777" w:rsidR="003631DE" w:rsidRPr="003631DE" w:rsidRDefault="003631DE" w:rsidP="003631D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Przedmiot zamówienia</w:t>
            </w:r>
          </w:p>
        </w:tc>
        <w:tc>
          <w:tcPr>
            <w:tcW w:w="2761" w:type="dxa"/>
            <w:shd w:val="clear" w:color="auto" w:fill="D9D9D9" w:themeFill="background1" w:themeFillShade="D9"/>
          </w:tcPr>
          <w:p w14:paraId="619EBDCA" w14:textId="77777777" w:rsidR="003631DE" w:rsidRPr="003631DE" w:rsidRDefault="003631DE" w:rsidP="003631D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Producent, Model</w:t>
            </w:r>
          </w:p>
        </w:tc>
        <w:tc>
          <w:tcPr>
            <w:tcW w:w="984" w:type="dxa"/>
            <w:shd w:val="clear" w:color="auto" w:fill="D9D9D9" w:themeFill="background1" w:themeFillShade="D9"/>
          </w:tcPr>
          <w:p w14:paraId="21E3EB5E" w14:textId="77777777" w:rsidR="003631DE" w:rsidRPr="003631DE" w:rsidRDefault="003631DE" w:rsidP="003631D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Ilość szt.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14:paraId="3FC93EBA" w14:textId="07D046E6" w:rsidR="003631DE" w:rsidRPr="003631DE" w:rsidRDefault="003631DE" w:rsidP="003631D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Cena jedn. netto 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br/>
            </w: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w PLN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14:paraId="26784DA6" w14:textId="7570EA0F" w:rsidR="003631DE" w:rsidRPr="003631DE" w:rsidRDefault="003631DE" w:rsidP="003631D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Wartość netto 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br/>
            </w: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w PLN</w:t>
            </w:r>
          </w:p>
        </w:tc>
        <w:tc>
          <w:tcPr>
            <w:tcW w:w="1265" w:type="dxa"/>
            <w:gridSpan w:val="2"/>
            <w:shd w:val="clear" w:color="auto" w:fill="D9D9D9" w:themeFill="background1" w:themeFillShade="D9"/>
          </w:tcPr>
          <w:p w14:paraId="7047983E" w14:textId="77777777" w:rsidR="003631DE" w:rsidRPr="003631DE" w:rsidRDefault="003631DE" w:rsidP="003631D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VAT w %</w:t>
            </w:r>
          </w:p>
        </w:tc>
        <w:tc>
          <w:tcPr>
            <w:tcW w:w="1265" w:type="dxa"/>
            <w:gridSpan w:val="2"/>
            <w:shd w:val="clear" w:color="auto" w:fill="D9D9D9" w:themeFill="background1" w:themeFillShade="D9"/>
          </w:tcPr>
          <w:p w14:paraId="05A8728C" w14:textId="373132A6" w:rsidR="003631DE" w:rsidRPr="003631DE" w:rsidRDefault="003631DE" w:rsidP="003631D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Wartość VAT 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br/>
            </w: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w PLN</w:t>
            </w:r>
          </w:p>
        </w:tc>
        <w:tc>
          <w:tcPr>
            <w:tcW w:w="1265" w:type="dxa"/>
            <w:shd w:val="clear" w:color="auto" w:fill="D9D9D9" w:themeFill="background1" w:themeFillShade="D9"/>
          </w:tcPr>
          <w:p w14:paraId="2A3F0741" w14:textId="4D2FA09B" w:rsidR="003631DE" w:rsidRPr="003631DE" w:rsidRDefault="003631DE" w:rsidP="003631D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Wartość brutto 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br/>
            </w: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w PLN</w:t>
            </w:r>
          </w:p>
        </w:tc>
      </w:tr>
      <w:tr w:rsidR="003631DE" w:rsidRPr="003631DE" w14:paraId="501BA372" w14:textId="77777777" w:rsidTr="003631DE">
        <w:trPr>
          <w:trHeight w:val="455"/>
        </w:trPr>
        <w:tc>
          <w:tcPr>
            <w:tcW w:w="567" w:type="dxa"/>
          </w:tcPr>
          <w:p w14:paraId="35C9D754" w14:textId="77777777" w:rsidR="003631DE" w:rsidRPr="003631DE" w:rsidRDefault="003631DE" w:rsidP="003631DE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lang w:eastAsia="pl-PL"/>
              </w:rPr>
              <w:t>1.</w:t>
            </w:r>
          </w:p>
        </w:tc>
        <w:tc>
          <w:tcPr>
            <w:tcW w:w="3263" w:type="dxa"/>
          </w:tcPr>
          <w:p w14:paraId="1B56770D" w14:textId="77777777" w:rsidR="003631DE" w:rsidRPr="003631DE" w:rsidRDefault="003631DE" w:rsidP="003631DE">
            <w:pPr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Urządzenie sieciowe typu </w:t>
            </w:r>
            <w:proofErr w:type="spellStart"/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switch</w:t>
            </w:r>
            <w:proofErr w:type="spellEnd"/>
          </w:p>
        </w:tc>
        <w:tc>
          <w:tcPr>
            <w:tcW w:w="2761" w:type="dxa"/>
          </w:tcPr>
          <w:p w14:paraId="5F21F6C7" w14:textId="77777777" w:rsidR="003631DE" w:rsidRPr="00D81A72" w:rsidRDefault="003631DE" w:rsidP="00D81A72">
            <w:pPr>
              <w:jc w:val="center"/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</w:pPr>
            <w:r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>…………………………</w:t>
            </w:r>
          </w:p>
          <w:p w14:paraId="35050DF4" w14:textId="77777777" w:rsidR="003631DE" w:rsidRPr="00D81A72" w:rsidRDefault="003631DE" w:rsidP="00D81A72">
            <w:pPr>
              <w:jc w:val="center"/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</w:pPr>
            <w:r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>(</w:t>
            </w:r>
            <w:proofErr w:type="spellStart"/>
            <w:r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>producent</w:t>
            </w:r>
            <w:proofErr w:type="spellEnd"/>
            <w:r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>)</w:t>
            </w:r>
          </w:p>
          <w:p w14:paraId="1DF5256E" w14:textId="77777777" w:rsidR="003631DE" w:rsidRPr="00D81A72" w:rsidRDefault="003631DE" w:rsidP="00D81A72">
            <w:pPr>
              <w:jc w:val="center"/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</w:pPr>
          </w:p>
          <w:p w14:paraId="60A9B3FE" w14:textId="77777777" w:rsidR="003631DE" w:rsidRPr="00D81A72" w:rsidRDefault="003631DE" w:rsidP="00D81A72">
            <w:pPr>
              <w:jc w:val="center"/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</w:pPr>
            <w:r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>…………………………</w:t>
            </w:r>
          </w:p>
          <w:p w14:paraId="696AF89A" w14:textId="0022CEFD" w:rsidR="003631DE" w:rsidRPr="00D81A72" w:rsidRDefault="003631DE" w:rsidP="00D81A72">
            <w:pPr>
              <w:jc w:val="center"/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</w:pPr>
            <w:r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 xml:space="preserve">(model: </w:t>
            </w:r>
            <w:proofErr w:type="spellStart"/>
            <w:r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>typ</w:t>
            </w:r>
            <w:proofErr w:type="spellEnd"/>
            <w:r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>/</w:t>
            </w:r>
            <w:proofErr w:type="spellStart"/>
            <w:r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>numer</w:t>
            </w:r>
            <w:proofErr w:type="spellEnd"/>
            <w:r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>/symbol</w:t>
            </w:r>
            <w:r w:rsidR="00D81A72"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 xml:space="preserve">, </w:t>
            </w:r>
            <w:proofErr w:type="spellStart"/>
            <w:r w:rsidR="00D81A72"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>wersja</w:t>
            </w:r>
            <w:proofErr w:type="spellEnd"/>
            <w:r w:rsidRPr="00D81A72">
              <w:rPr>
                <w:rFonts w:ascii="Times New Roman" w:eastAsia="Calibri" w:hAnsi="Times New Roman" w:cs="Times New Roman"/>
                <w:i/>
                <w:iCs/>
                <w:lang w:val="en-US" w:eastAsia="pl-PL"/>
              </w:rPr>
              <w:t>)</w:t>
            </w:r>
          </w:p>
          <w:p w14:paraId="526B5DCE" w14:textId="77777777" w:rsidR="003631DE" w:rsidRPr="00D81A72" w:rsidRDefault="003631DE" w:rsidP="00D81A72">
            <w:pPr>
              <w:jc w:val="center"/>
              <w:rPr>
                <w:rFonts w:ascii="Times New Roman" w:eastAsia="Calibri" w:hAnsi="Times New Roman" w:cs="Times New Roman"/>
                <w:i/>
                <w:lang w:val="en-US" w:eastAsia="pl-PL"/>
              </w:rPr>
            </w:pPr>
          </w:p>
          <w:p w14:paraId="2B6AD1FF" w14:textId="0DF1736F" w:rsidR="00D81A72" w:rsidRPr="00D81A72" w:rsidRDefault="00D81A72" w:rsidP="00D81A72">
            <w:pPr>
              <w:jc w:val="center"/>
              <w:rPr>
                <w:rFonts w:ascii="Times New Roman" w:eastAsia="Calibri" w:hAnsi="Times New Roman" w:cs="Times New Roman"/>
                <w:i/>
                <w:lang w:eastAsia="pl-PL"/>
              </w:rPr>
            </w:pPr>
            <w:r w:rsidRPr="00D81A72">
              <w:rPr>
                <w:rFonts w:ascii="Times New Roman" w:eastAsia="Calibri" w:hAnsi="Times New Roman" w:cs="Times New Roman"/>
                <w:i/>
                <w:lang w:eastAsia="pl-PL"/>
              </w:rPr>
              <w:t>……………………..</w:t>
            </w:r>
          </w:p>
          <w:p w14:paraId="47D02A46" w14:textId="26C5D10C" w:rsidR="00D81A72" w:rsidRPr="00D81A72" w:rsidRDefault="00D81A72" w:rsidP="00D81A72">
            <w:pPr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81A72">
              <w:rPr>
                <w:rFonts w:ascii="Times New Roman" w:eastAsia="Calibri" w:hAnsi="Times New Roman" w:cs="Times New Roman"/>
                <w:i/>
                <w:lang w:eastAsia="pl-PL"/>
              </w:rPr>
              <w:t>rok produkcji</w:t>
            </w:r>
          </w:p>
        </w:tc>
        <w:tc>
          <w:tcPr>
            <w:tcW w:w="984" w:type="dxa"/>
          </w:tcPr>
          <w:p w14:paraId="17F2A2B6" w14:textId="4C012F59" w:rsidR="003631DE" w:rsidRPr="003631DE" w:rsidRDefault="002252DF" w:rsidP="003631D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81" w:type="dxa"/>
          </w:tcPr>
          <w:p w14:paraId="5258ED71" w14:textId="77777777" w:rsidR="003631DE" w:rsidRPr="003631DE" w:rsidRDefault="003631DE" w:rsidP="003631DE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224" w:type="dxa"/>
          </w:tcPr>
          <w:p w14:paraId="3899F346" w14:textId="77777777" w:rsidR="003631DE" w:rsidRPr="003631DE" w:rsidRDefault="003631DE" w:rsidP="003631DE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253" w:type="dxa"/>
          </w:tcPr>
          <w:p w14:paraId="05169B80" w14:textId="77777777" w:rsidR="003631DE" w:rsidRPr="003631DE" w:rsidRDefault="003631DE" w:rsidP="003631DE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271" w:type="dxa"/>
            <w:gridSpan w:val="2"/>
          </w:tcPr>
          <w:p w14:paraId="4F583386" w14:textId="77777777" w:rsidR="003631DE" w:rsidRPr="003631DE" w:rsidRDefault="003631DE" w:rsidP="003631DE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271" w:type="dxa"/>
            <w:gridSpan w:val="2"/>
          </w:tcPr>
          <w:p w14:paraId="05BD7419" w14:textId="77777777" w:rsidR="003631DE" w:rsidRPr="003631DE" w:rsidRDefault="003631DE" w:rsidP="003631DE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3631DE" w:rsidRPr="003631DE" w14:paraId="4717E6A6" w14:textId="77777777" w:rsidTr="003631DE">
        <w:trPr>
          <w:trHeight w:val="391"/>
        </w:trPr>
        <w:tc>
          <w:tcPr>
            <w:tcW w:w="8856" w:type="dxa"/>
            <w:gridSpan w:val="5"/>
          </w:tcPr>
          <w:p w14:paraId="4F5A2760" w14:textId="77777777" w:rsidR="003631DE" w:rsidRPr="003631DE" w:rsidRDefault="003631DE" w:rsidP="003631DE">
            <w:pPr>
              <w:jc w:val="right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3631DE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lastRenderedPageBreak/>
              <w:t>RAZEM:</w:t>
            </w:r>
          </w:p>
        </w:tc>
        <w:tc>
          <w:tcPr>
            <w:tcW w:w="1224" w:type="dxa"/>
          </w:tcPr>
          <w:p w14:paraId="50A57B58" w14:textId="77777777" w:rsidR="003631DE" w:rsidRPr="003631DE" w:rsidRDefault="003631DE" w:rsidP="003631DE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253" w:type="dxa"/>
          </w:tcPr>
          <w:p w14:paraId="7779C744" w14:textId="77777777" w:rsidR="003631DE" w:rsidRPr="003631DE" w:rsidRDefault="003631DE" w:rsidP="003631DE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271" w:type="dxa"/>
            <w:gridSpan w:val="2"/>
          </w:tcPr>
          <w:p w14:paraId="15DE75EA" w14:textId="77777777" w:rsidR="003631DE" w:rsidRPr="003631DE" w:rsidRDefault="003631DE" w:rsidP="003631DE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271" w:type="dxa"/>
            <w:gridSpan w:val="2"/>
          </w:tcPr>
          <w:p w14:paraId="125E4F61" w14:textId="77777777" w:rsidR="003631DE" w:rsidRPr="003631DE" w:rsidRDefault="003631DE" w:rsidP="003631DE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20DAD1CA" w14:textId="77777777" w:rsidR="003631DE" w:rsidRPr="003631DE" w:rsidRDefault="003631DE" w:rsidP="003631DE">
      <w:pPr>
        <w:spacing w:after="0" w:line="240" w:lineRule="auto"/>
        <w:contextualSpacing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5963762B" w14:textId="77777777" w:rsidR="002252DF" w:rsidRPr="002252DF" w:rsidRDefault="002252DF" w:rsidP="002252D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34DC720" w14:textId="7E295123" w:rsidR="002252DF" w:rsidRPr="002252DF" w:rsidRDefault="002252DF" w:rsidP="002252DF">
      <w:pPr>
        <w:spacing w:after="0" w:line="240" w:lineRule="auto"/>
        <w:contextualSpacing/>
        <w:jc w:val="center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2252DF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Przełącznik warstwy trzeciej wyposażony w min. 48 portów Ethernet min. 1GB i min. 2 porty 10GbE SFP+ - </w:t>
      </w:r>
      <w:proofErr w:type="spellStart"/>
      <w:r w:rsidRPr="002252DF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szt</w:t>
      </w:r>
      <w:proofErr w:type="spellEnd"/>
      <w:r w:rsidRPr="002252DF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3</w:t>
      </w:r>
      <w:r w:rsidR="00D81A72">
        <w:rPr>
          <w:rFonts w:ascii="Times New Roman" w:eastAsia="Times New Roman" w:hAnsi="Times New Roman" w:cs="Times New Roman"/>
          <w:b/>
          <w:bCs/>
          <w:iCs/>
          <w:kern w:val="0"/>
          <w:sz w:val="20"/>
          <w:szCs w:val="20"/>
          <w:lang w:eastAsia="pl-PL"/>
          <w14:ligatures w14:val="none"/>
        </w:rPr>
        <w:br/>
      </w:r>
    </w:p>
    <w:tbl>
      <w:tblPr>
        <w:tblStyle w:val="Tabela-Siatka1"/>
        <w:tblW w:w="14963" w:type="dxa"/>
        <w:tblInd w:w="-743" w:type="dxa"/>
        <w:tblLook w:val="04A0" w:firstRow="1" w:lastRow="0" w:firstColumn="1" w:lastColumn="0" w:noHBand="0" w:noVBand="1"/>
      </w:tblPr>
      <w:tblGrid>
        <w:gridCol w:w="759"/>
        <w:gridCol w:w="2078"/>
        <w:gridCol w:w="7241"/>
        <w:gridCol w:w="2564"/>
        <w:gridCol w:w="2321"/>
      </w:tblGrid>
      <w:tr w:rsidR="002252DF" w:rsidRPr="002252DF" w14:paraId="7BEC4201" w14:textId="77777777" w:rsidTr="002252D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DD181B" w14:textId="77777777" w:rsidR="002252DF" w:rsidRPr="002252DF" w:rsidRDefault="002252DF" w:rsidP="002252DF">
            <w:pPr>
              <w:jc w:val="center"/>
              <w:rPr>
                <w:rFonts w:eastAsia="Calibri"/>
                <w:b/>
                <w:u w:val="none"/>
              </w:rPr>
            </w:pPr>
            <w:r w:rsidRPr="002252DF">
              <w:rPr>
                <w:rFonts w:eastAsia="Calibri"/>
                <w:b/>
                <w:u w:val="none"/>
                <w:lang w:eastAsia="pl-PL"/>
              </w:rPr>
              <w:t>Lp.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F2727E" w14:textId="77777777" w:rsidR="002252DF" w:rsidRPr="002252DF" w:rsidRDefault="002252DF" w:rsidP="002252DF">
            <w:pPr>
              <w:jc w:val="center"/>
              <w:rPr>
                <w:rFonts w:eastAsia="Calibri"/>
                <w:b/>
                <w:u w:val="none"/>
              </w:rPr>
            </w:pPr>
            <w:r w:rsidRPr="002252DF">
              <w:rPr>
                <w:rFonts w:eastAsia="Calibri"/>
                <w:b/>
                <w:u w:val="none"/>
                <w:lang w:eastAsia="pl-PL"/>
              </w:rPr>
              <w:t>Opis wymagania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1F0578" w14:textId="70C19AAB" w:rsidR="002252DF" w:rsidRPr="002252DF" w:rsidRDefault="002252DF" w:rsidP="002252DF">
            <w:pPr>
              <w:ind w:left="-71"/>
              <w:jc w:val="center"/>
              <w:rPr>
                <w:rFonts w:eastAsia="Calibri"/>
                <w:b/>
                <w:u w:val="none"/>
              </w:rPr>
            </w:pPr>
            <w:r w:rsidRPr="002252DF">
              <w:rPr>
                <w:rFonts w:eastAsia="Calibri"/>
                <w:b/>
                <w:iCs/>
                <w:color w:val="auto"/>
                <w:u w:val="none"/>
              </w:rPr>
              <w:t>Wymagane minimalne parametry techniczne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396896" w14:textId="77777777" w:rsidR="002252DF" w:rsidRPr="002252DF" w:rsidRDefault="002252DF" w:rsidP="002252DF">
            <w:pPr>
              <w:tabs>
                <w:tab w:val="left" w:pos="3466"/>
              </w:tabs>
              <w:ind w:left="-71"/>
              <w:jc w:val="center"/>
              <w:rPr>
                <w:rFonts w:eastAsia="Calibri"/>
                <w:b/>
                <w:iCs/>
                <w:u w:val="none"/>
                <w:lang w:eastAsia="pl-PL"/>
              </w:rPr>
            </w:pPr>
            <w:r w:rsidRPr="002252DF">
              <w:rPr>
                <w:rFonts w:eastAsia="Calibri"/>
                <w:b/>
                <w:iCs/>
                <w:u w:val="none"/>
                <w:lang w:eastAsia="pl-PL"/>
              </w:rPr>
              <w:t>Parametry oferowanego produktu wpisać TAK/NIE lub opisać</w:t>
            </w:r>
          </w:p>
          <w:p w14:paraId="3731A20D" w14:textId="666E4205" w:rsidR="002252DF" w:rsidRPr="002252DF" w:rsidRDefault="002252DF" w:rsidP="002252DF">
            <w:pPr>
              <w:ind w:left="-71"/>
              <w:jc w:val="center"/>
              <w:rPr>
                <w:rFonts w:eastAsia="Calibri"/>
                <w:b/>
                <w:u w:val="none"/>
                <w:lang w:eastAsia="pl-PL"/>
              </w:rPr>
            </w:pPr>
            <w:r w:rsidRPr="002252DF">
              <w:rPr>
                <w:rFonts w:eastAsia="Calibri"/>
                <w:b/>
                <w:iCs/>
                <w:color w:val="auto"/>
                <w:kern w:val="2"/>
                <w:u w:val="none"/>
                <w:lang w:eastAsia="pl-PL"/>
              </w:rPr>
              <w:t>(Wykonawca powinien wskazać konkretne cechy w wykropkowanych miejscach)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22B0FB" w14:textId="77777777" w:rsidR="002252DF" w:rsidRPr="002252DF" w:rsidRDefault="002252DF" w:rsidP="002252DF">
            <w:pPr>
              <w:ind w:left="-71"/>
              <w:jc w:val="center"/>
              <w:rPr>
                <w:rFonts w:eastAsia="Calibri"/>
                <w:b/>
                <w:u w:val="none"/>
                <w:lang w:eastAsia="pl-PL"/>
              </w:rPr>
            </w:pPr>
            <w:r w:rsidRPr="002252DF">
              <w:rPr>
                <w:rFonts w:eastAsia="Calibri"/>
                <w:b/>
                <w:u w:val="none"/>
                <w:lang w:eastAsia="pl-PL"/>
              </w:rPr>
              <w:t>Parametry oceniane</w:t>
            </w:r>
          </w:p>
        </w:tc>
      </w:tr>
      <w:tr w:rsidR="002252DF" w:rsidRPr="002252DF" w14:paraId="25B12B88" w14:textId="77777777" w:rsidTr="002252D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D22BD" w14:textId="77777777" w:rsidR="002252DF" w:rsidRPr="002252DF" w:rsidRDefault="002252DF" w:rsidP="002252DF">
            <w:pPr>
              <w:jc w:val="center"/>
              <w:rPr>
                <w:rFonts w:eastAsia="Calibri"/>
                <w:b/>
                <w:u w:val="none"/>
              </w:rPr>
            </w:pPr>
            <w:r w:rsidRPr="002252DF">
              <w:rPr>
                <w:rFonts w:eastAsia="Calibri"/>
                <w:b/>
                <w:u w:val="none"/>
                <w:lang w:eastAsia="pl-PL"/>
              </w:rPr>
              <w:t>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8899" w14:textId="77777777" w:rsidR="002252DF" w:rsidRPr="002252DF" w:rsidRDefault="002252DF" w:rsidP="002252DF">
            <w:pPr>
              <w:jc w:val="center"/>
              <w:rPr>
                <w:rFonts w:eastAsia="Calibri"/>
                <w:b/>
                <w:u w:val="none"/>
              </w:rPr>
            </w:pPr>
            <w:r w:rsidRPr="002252DF">
              <w:rPr>
                <w:rFonts w:eastAsia="Calibri"/>
                <w:b/>
                <w:u w:val="none"/>
                <w:lang w:eastAsia="pl-PL"/>
              </w:rPr>
              <w:t>2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2A8D" w14:textId="77777777" w:rsidR="002252DF" w:rsidRPr="002252DF" w:rsidRDefault="002252DF" w:rsidP="002252DF">
            <w:pPr>
              <w:ind w:left="-71"/>
              <w:jc w:val="center"/>
              <w:rPr>
                <w:rFonts w:eastAsia="Calibri"/>
                <w:b/>
                <w:u w:val="none"/>
              </w:rPr>
            </w:pPr>
            <w:r w:rsidRPr="002252DF">
              <w:rPr>
                <w:rFonts w:eastAsia="Calibri"/>
                <w:b/>
                <w:u w:val="none"/>
                <w:lang w:eastAsia="pl-PL"/>
              </w:rPr>
              <w:t>3</w:t>
            </w:r>
            <w:bookmarkStart w:id="0" w:name="_GoBack"/>
            <w:bookmarkEnd w:id="0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3C51" w14:textId="77777777" w:rsidR="002252DF" w:rsidRPr="002252DF" w:rsidRDefault="002252DF" w:rsidP="002252DF">
            <w:pPr>
              <w:ind w:left="-71"/>
              <w:jc w:val="center"/>
              <w:rPr>
                <w:rFonts w:eastAsia="Calibri"/>
                <w:b/>
                <w:u w:val="none"/>
              </w:rPr>
            </w:pPr>
            <w:r w:rsidRPr="002252DF">
              <w:rPr>
                <w:rFonts w:eastAsia="Calibri"/>
                <w:b/>
                <w:u w:val="none"/>
                <w:lang w:eastAsia="pl-PL"/>
              </w:rPr>
              <w:t>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A1C8" w14:textId="77777777" w:rsidR="002252DF" w:rsidRPr="002252DF" w:rsidRDefault="002252DF" w:rsidP="002252DF">
            <w:pPr>
              <w:ind w:left="-71"/>
              <w:jc w:val="center"/>
              <w:rPr>
                <w:rFonts w:eastAsia="Calibri"/>
                <w:b/>
                <w:u w:val="none"/>
                <w:lang w:eastAsia="pl-PL"/>
              </w:rPr>
            </w:pPr>
            <w:r w:rsidRPr="002252DF">
              <w:rPr>
                <w:rFonts w:eastAsia="Calibri"/>
                <w:b/>
                <w:u w:val="none"/>
                <w:lang w:eastAsia="pl-PL"/>
              </w:rPr>
              <w:t>5</w:t>
            </w:r>
          </w:p>
        </w:tc>
      </w:tr>
      <w:tr w:rsidR="002252DF" w:rsidRPr="002252DF" w14:paraId="021FA8BD" w14:textId="77777777" w:rsidTr="002252D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CAE3" w14:textId="77777777" w:rsidR="002252DF" w:rsidRPr="002252DF" w:rsidRDefault="002252DF" w:rsidP="002252DF">
            <w:pPr>
              <w:ind w:left="360"/>
              <w:rPr>
                <w:u w:val="none"/>
              </w:rPr>
            </w:pPr>
            <w:r w:rsidRPr="002252DF">
              <w:rPr>
                <w:u w:val="none"/>
              </w:rPr>
              <w:t>1.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72F12" w14:textId="77777777" w:rsidR="002252DF" w:rsidRPr="002252DF" w:rsidRDefault="002252DF" w:rsidP="002252DF">
            <w:pPr>
              <w:ind w:left="360"/>
              <w:rPr>
                <w:u w:val="none"/>
              </w:rPr>
            </w:pPr>
            <w:r w:rsidRPr="002252DF">
              <w:rPr>
                <w:u w:val="none"/>
              </w:rPr>
              <w:t>Typ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59FC0" w14:textId="77777777" w:rsidR="002252DF" w:rsidRPr="002252DF" w:rsidRDefault="002252DF" w:rsidP="002252DF">
            <w:pPr>
              <w:ind w:left="360"/>
              <w:jc w:val="both"/>
              <w:rPr>
                <w:u w:val="none"/>
                <w:lang w:eastAsia="pl-PL"/>
              </w:rPr>
            </w:pPr>
            <w:r w:rsidRPr="002252DF">
              <w:rPr>
                <w:u w:val="none"/>
                <w:lang w:eastAsia="pl-PL"/>
              </w:rPr>
              <w:t xml:space="preserve">Przełącznik </w:t>
            </w:r>
            <w:r w:rsidRPr="002252DF">
              <w:rPr>
                <w:u w:val="none"/>
              </w:rPr>
              <w:t>wielowarstwowy</w:t>
            </w:r>
            <w:r w:rsidRPr="002252DF">
              <w:rPr>
                <w:u w:val="none"/>
                <w:lang w:eastAsia="pl-PL"/>
              </w:rPr>
              <w:t xml:space="preserve"> L3 </w:t>
            </w:r>
          </w:p>
          <w:p w14:paraId="66DE7D43" w14:textId="77777777" w:rsidR="002252DF" w:rsidRPr="002252DF" w:rsidRDefault="002252DF" w:rsidP="002252DF">
            <w:pPr>
              <w:ind w:left="360"/>
              <w:jc w:val="both"/>
              <w:rPr>
                <w:u w:val="none"/>
              </w:rPr>
            </w:pPr>
            <w:r w:rsidRPr="002252DF">
              <w:rPr>
                <w:u w:val="none"/>
                <w:lang w:eastAsia="pl-PL"/>
              </w:rPr>
              <w:t xml:space="preserve">Przełącznik musi być dedykowanym urządzeniem sieciowym o wysokości 1U przystosowanym do montowania w szafie </w:t>
            </w:r>
            <w:proofErr w:type="spellStart"/>
            <w:r w:rsidRPr="002252DF">
              <w:rPr>
                <w:u w:val="none"/>
                <w:lang w:eastAsia="pl-PL"/>
              </w:rPr>
              <w:t>rack</w:t>
            </w:r>
            <w:proofErr w:type="spellEnd"/>
            <w:r w:rsidRPr="002252DF">
              <w:rPr>
                <w:u w:val="none"/>
                <w:lang w:eastAsia="pl-PL"/>
              </w:rPr>
              <w:t>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5E7E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B183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329BFAFD" w14:textId="77777777" w:rsidTr="002252DF"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917D8" w14:textId="77777777" w:rsidR="002252DF" w:rsidRPr="002252DF" w:rsidRDefault="002252DF" w:rsidP="002252DF">
            <w:pPr>
              <w:ind w:left="360"/>
              <w:rPr>
                <w:u w:val="none"/>
              </w:rPr>
            </w:pPr>
            <w:r w:rsidRPr="002252DF">
              <w:rPr>
                <w:u w:val="none"/>
              </w:rPr>
              <w:t>2.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65A3" w14:textId="77777777" w:rsidR="002252DF" w:rsidRPr="002252DF" w:rsidRDefault="002252DF" w:rsidP="002252DF">
            <w:pPr>
              <w:ind w:left="360"/>
              <w:rPr>
                <w:u w:val="none"/>
              </w:rPr>
            </w:pPr>
            <w:r w:rsidRPr="002252DF">
              <w:rPr>
                <w:u w:val="none"/>
              </w:rPr>
              <w:t>Porty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C2533" w14:textId="77777777" w:rsidR="002252DF" w:rsidRPr="002252DF" w:rsidRDefault="002252DF" w:rsidP="002252DF">
            <w:pPr>
              <w:numPr>
                <w:ilvl w:val="0"/>
                <w:numId w:val="6"/>
              </w:numPr>
              <w:rPr>
                <w:u w:val="none"/>
              </w:rPr>
            </w:pPr>
            <w:r w:rsidRPr="002252DF">
              <w:rPr>
                <w:bCs/>
                <w:u w:val="none"/>
              </w:rPr>
              <w:t>Przełącznik</w:t>
            </w:r>
            <w:r w:rsidRPr="002252DF">
              <w:rPr>
                <w:u w:val="none"/>
                <w:lang w:eastAsia="pl-PL"/>
              </w:rPr>
              <w:t xml:space="preserve"> musi posiadać minimum  48 portów </w:t>
            </w:r>
            <w:r w:rsidRPr="002252DF">
              <w:rPr>
                <w:u w:val="none"/>
              </w:rPr>
              <w:t>gigabitowych w standardzie 100/1000BaseT ze wsparciem dla standardu 802.3at (</w:t>
            </w:r>
            <w:proofErr w:type="spellStart"/>
            <w:r w:rsidRPr="002252DF">
              <w:rPr>
                <w:u w:val="none"/>
              </w:rPr>
              <w:t>PoE</w:t>
            </w:r>
            <w:proofErr w:type="spellEnd"/>
            <w:r w:rsidRPr="002252DF">
              <w:rPr>
                <w:u w:val="none"/>
              </w:rPr>
              <w:t>+)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E4E1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4CEC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133A7B3B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7C20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A4A6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6A05" w14:textId="77777777" w:rsidR="002252DF" w:rsidRPr="002252DF" w:rsidRDefault="002252DF" w:rsidP="002252DF">
            <w:pPr>
              <w:numPr>
                <w:ilvl w:val="0"/>
                <w:numId w:val="6"/>
              </w:numPr>
              <w:rPr>
                <w:b/>
                <w:bCs/>
                <w:u w:val="none"/>
              </w:rPr>
            </w:pPr>
            <w:r w:rsidRPr="002252DF">
              <w:rPr>
                <w:bCs/>
                <w:u w:val="none"/>
              </w:rPr>
              <w:t>Przełącznik</w:t>
            </w:r>
            <w:r w:rsidRPr="002252DF">
              <w:rPr>
                <w:u w:val="none"/>
                <w:lang w:eastAsia="pl-PL"/>
              </w:rPr>
              <w:t xml:space="preserve"> musi być wyposażony w minimum 2 porty </w:t>
            </w:r>
            <w:r w:rsidRPr="002252DF">
              <w:rPr>
                <w:u w:val="none"/>
              </w:rPr>
              <w:t>10Gb SFP+, pozwalające na instalację wkładek 10Gb (SFP+) i Gigabitowych (SFP).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0314" w14:textId="77777777" w:rsidR="002252DF" w:rsidRPr="002252DF" w:rsidRDefault="002252DF" w:rsidP="002252DF">
            <w:pPr>
              <w:jc w:val="center"/>
              <w:rPr>
                <w:i/>
                <w:u w:val="none"/>
              </w:rPr>
            </w:pPr>
            <w:r w:rsidRPr="002252DF">
              <w:rPr>
                <w:i/>
                <w:u w:val="none"/>
              </w:rPr>
              <w:t>Podać ilość portów 1G/10GbE SFP+</w:t>
            </w:r>
          </w:p>
          <w:p w14:paraId="10A9F820" w14:textId="77777777" w:rsidR="002252DF" w:rsidRPr="002252DF" w:rsidRDefault="002252DF" w:rsidP="002252DF">
            <w:pPr>
              <w:jc w:val="center"/>
              <w:rPr>
                <w:i/>
                <w:u w:val="none"/>
              </w:rPr>
            </w:pPr>
          </w:p>
          <w:p w14:paraId="63A09FA4" w14:textId="77777777" w:rsidR="002252DF" w:rsidRPr="002252DF" w:rsidRDefault="002252DF" w:rsidP="002252DF">
            <w:pPr>
              <w:jc w:val="center"/>
              <w:rPr>
                <w:i/>
                <w:u w:val="none"/>
              </w:rPr>
            </w:pPr>
            <w:r w:rsidRPr="002252DF">
              <w:rPr>
                <w:i/>
                <w:u w:val="none"/>
              </w:rPr>
              <w:t>…………………………….</w:t>
            </w:r>
          </w:p>
          <w:p w14:paraId="24194360" w14:textId="77777777" w:rsidR="002252DF" w:rsidRPr="002252DF" w:rsidRDefault="002252DF" w:rsidP="002252DF">
            <w:pPr>
              <w:jc w:val="center"/>
              <w:rPr>
                <w:i/>
                <w:u w:val="none"/>
              </w:rPr>
            </w:pPr>
          </w:p>
          <w:p w14:paraId="783A89D2" w14:textId="77777777" w:rsidR="002252DF" w:rsidRPr="002252DF" w:rsidRDefault="002252DF" w:rsidP="002252DF">
            <w:pPr>
              <w:jc w:val="center"/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79980" w14:textId="05F89B9F" w:rsidR="002252DF" w:rsidRDefault="002252DF" w:rsidP="002252DF">
            <w:pPr>
              <w:rPr>
                <w:u w:val="none"/>
              </w:rPr>
            </w:pPr>
            <w:r>
              <w:rPr>
                <w:u w:val="none"/>
              </w:rPr>
              <w:t>Parametry oceniane:</w:t>
            </w:r>
          </w:p>
          <w:p w14:paraId="78C63638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2 porty – 0 pkt</w:t>
            </w:r>
          </w:p>
          <w:p w14:paraId="671B0923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4 porty – 30 pkt</w:t>
            </w:r>
          </w:p>
        </w:tc>
      </w:tr>
      <w:tr w:rsidR="002252DF" w:rsidRPr="002252DF" w14:paraId="1F68C848" w14:textId="77777777" w:rsidTr="002252DF">
        <w:trPr>
          <w:trHeight w:val="1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2F0B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7A412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0FAC" w14:textId="77777777" w:rsidR="002252DF" w:rsidRPr="002252DF" w:rsidRDefault="002252DF" w:rsidP="002252DF">
            <w:pPr>
              <w:numPr>
                <w:ilvl w:val="0"/>
                <w:numId w:val="6"/>
              </w:numPr>
              <w:rPr>
                <w:u w:val="none"/>
              </w:rPr>
            </w:pPr>
            <w:r w:rsidRPr="002252DF">
              <w:rPr>
                <w:bCs/>
                <w:u w:val="none"/>
              </w:rPr>
              <w:t>Przełącznik</w:t>
            </w:r>
            <w:r w:rsidRPr="002252DF">
              <w:rPr>
                <w:u w:val="none"/>
                <w:lang w:eastAsia="pl-PL"/>
              </w:rPr>
              <w:t xml:space="preserve"> musi umożliwiać stworzenie stosu liczącego nie mniej niż 8 urządzeń. </w:t>
            </w:r>
            <w:r w:rsidRPr="002252DF">
              <w:rPr>
                <w:u w:val="none"/>
              </w:rPr>
              <w:t>Zarządzanie stosem musi odbywać się z jednego adresu IP.</w:t>
            </w:r>
            <w:r w:rsidRPr="002252DF">
              <w:rPr>
                <w:u w:val="none"/>
                <w:lang w:eastAsia="pl-PL"/>
              </w:rPr>
              <w:t xml:space="preserve"> </w:t>
            </w:r>
            <w:r w:rsidRPr="002252DF">
              <w:rPr>
                <w:u w:val="none"/>
              </w:rPr>
              <w:t>Jeżeli łączenie w stos wymaga dodatkowych modułów lub licencji to dostarczenie ich jest wymagane w ramach tego postępowania.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F7C0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586B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51647DE4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299B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0E2AC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9F45" w14:textId="77777777" w:rsidR="002252DF" w:rsidRPr="002252DF" w:rsidRDefault="002252DF" w:rsidP="002252DF">
            <w:pPr>
              <w:numPr>
                <w:ilvl w:val="0"/>
                <w:numId w:val="6"/>
              </w:numPr>
              <w:rPr>
                <w:u w:val="none"/>
              </w:rPr>
            </w:pPr>
            <w:r w:rsidRPr="002252DF">
              <w:rPr>
                <w:u w:val="none"/>
                <w:lang w:eastAsia="pl-PL"/>
              </w:rPr>
              <w:t>Stos musi być widoczny z punktu widzenia zarządzania oraz innych urządzeń sieciowych jako jedno  logiczne urządzenie. Dotyczy to minimum protokołów STP, LACP, 802.1x oraz wspieranych przez przełącznik protokołów routingu dynamicznego.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2282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BCC96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57BBEC81" w14:textId="77777777" w:rsidTr="002252DF"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E8725" w14:textId="77777777" w:rsidR="002252DF" w:rsidRPr="002252DF" w:rsidRDefault="002252DF" w:rsidP="002252DF">
            <w:pPr>
              <w:ind w:left="360"/>
              <w:rPr>
                <w:u w:val="none"/>
              </w:rPr>
            </w:pPr>
            <w:r w:rsidRPr="002252DF">
              <w:rPr>
                <w:u w:val="none"/>
              </w:rPr>
              <w:t>3.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5ED2" w14:textId="77777777" w:rsidR="002252DF" w:rsidRPr="002252DF" w:rsidRDefault="002252DF" w:rsidP="002252DF">
            <w:pPr>
              <w:ind w:left="360"/>
              <w:rPr>
                <w:u w:val="none"/>
              </w:rPr>
            </w:pPr>
            <w:r w:rsidRPr="002252DF">
              <w:rPr>
                <w:u w:val="none"/>
              </w:rPr>
              <w:t>Funkcjonalność urządzenia i zarządzanie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989F6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u w:val="none"/>
              </w:rPr>
            </w:pPr>
            <w:r w:rsidRPr="002252DF">
              <w:rPr>
                <w:bCs/>
                <w:u w:val="none"/>
              </w:rPr>
              <w:t>Przełącznik</w:t>
            </w:r>
            <w:r w:rsidRPr="002252DF">
              <w:rPr>
                <w:u w:val="none"/>
                <w:lang w:eastAsia="pl-PL"/>
              </w:rPr>
              <w:t xml:space="preserve"> musi być wyposażony w port konsoli oraz dedykowany interfejs Ethernet do zarządzania.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7CE1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ADC4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3E3B17D4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CE275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9B49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383A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Zarządzanie urządzeniem musi odbywać się za pośrednictwem interfejsu linii komend (CLI) przez port konsoli, SNMP v.1,2c i 3 ,SSH, Telnet, SSH v.2 za pośrednictwem interfejsu WWW(http i </w:t>
            </w:r>
            <w:proofErr w:type="spellStart"/>
            <w:r w:rsidRPr="002252DF">
              <w:rPr>
                <w:bCs/>
                <w:u w:val="none"/>
              </w:rPr>
              <w:t>https</w:t>
            </w:r>
            <w:proofErr w:type="spellEnd"/>
            <w:r w:rsidRPr="002252DF">
              <w:rPr>
                <w:bCs/>
                <w:u w:val="none"/>
              </w:rPr>
              <w:t>).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FAE3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ACEF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2E95A078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DF308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8400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C4DA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Wszystkie porty muszą pracować z pełną prędkością interfejsów (</w:t>
            </w:r>
            <w:proofErr w:type="spellStart"/>
            <w:r w:rsidRPr="002252DF">
              <w:rPr>
                <w:bCs/>
                <w:u w:val="none"/>
              </w:rPr>
              <w:t>wire-speed</w:t>
            </w:r>
            <w:proofErr w:type="spellEnd"/>
            <w:r w:rsidRPr="002252DF">
              <w:rPr>
                <w:bCs/>
                <w:u w:val="none"/>
              </w:rPr>
              <w:t xml:space="preserve">) dla pakietów dowolnej wielkości. Maksymalna wydajność przełączania w warstwie 2 </w:t>
            </w:r>
            <w:r w:rsidRPr="002252DF">
              <w:rPr>
                <w:bCs/>
                <w:u w:val="none"/>
              </w:rPr>
              <w:lastRenderedPageBreak/>
              <w:t xml:space="preserve">nie może być niższa niż 176 </w:t>
            </w:r>
            <w:proofErr w:type="spellStart"/>
            <w:r w:rsidRPr="002252DF">
              <w:rPr>
                <w:bCs/>
                <w:u w:val="none"/>
              </w:rPr>
              <w:t>Gb</w:t>
            </w:r>
            <w:proofErr w:type="spellEnd"/>
            <w:r w:rsidRPr="002252DF">
              <w:rPr>
                <w:bCs/>
                <w:u w:val="none"/>
              </w:rPr>
              <w:t>/s i 112 milionów pakietów na sekundę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924C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42CD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2315EF72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E7F2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0C46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BFB4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Przełącznik nie może obsługiwać mniej niż 32 000 adresów MAC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5A57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C8D9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572D92F1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AE40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8BD0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9E1A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Wielkość sprzętowej tablicy routingu przełącznika musi być minimum 2000 wpisów dla IPv4 i 1000 wpisów dla IPv6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28E1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2CFD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775DE5A1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07C3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8002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A119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Przełącznik musi obsługiwać ramki Jumbo o wielkości nie mniejszej niż 9190 bajtów.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03CB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2FB5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74540174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3823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9139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10DE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Przełącznik musi być wyposażony w nie mniej niż 1 GB pamięci Flash oraz 1 GB pamięci DDR3 SDRAM.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1AB1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F6DC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031422B5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8AD6F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638E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E519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Przełącznik musi obsługiwać sieci VLAN zgodne z IEEE 802.1q w ilości nie mniejszej niż 2000. 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D7DC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BDC6E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67A5B36A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3CD1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E736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BBF76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Przełącznik musi obsługiwać protokół LLDP i LLDP-MED.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D839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20D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334C3524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0C96A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D486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23E7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Przełącznik musi obsługiwać protokół </w:t>
            </w:r>
            <w:proofErr w:type="spellStart"/>
            <w:r w:rsidRPr="002252DF">
              <w:rPr>
                <w:bCs/>
                <w:u w:val="none"/>
              </w:rPr>
              <w:t>Spanning</w:t>
            </w:r>
            <w:proofErr w:type="spellEnd"/>
            <w:r w:rsidRPr="002252DF">
              <w:rPr>
                <w:bCs/>
                <w:u w:val="none"/>
              </w:rPr>
              <w:t xml:space="preserve"> </w:t>
            </w:r>
            <w:proofErr w:type="spellStart"/>
            <w:r w:rsidRPr="002252DF">
              <w:rPr>
                <w:bCs/>
                <w:u w:val="none"/>
              </w:rPr>
              <w:t>Tree</w:t>
            </w:r>
            <w:proofErr w:type="spellEnd"/>
            <w:r w:rsidRPr="002252DF">
              <w:rPr>
                <w:bCs/>
                <w:u w:val="none"/>
              </w:rPr>
              <w:t xml:space="preserve"> i </w:t>
            </w:r>
            <w:proofErr w:type="spellStart"/>
            <w:r w:rsidRPr="002252DF">
              <w:rPr>
                <w:bCs/>
                <w:u w:val="none"/>
              </w:rPr>
              <w:t>Rapid</w:t>
            </w:r>
            <w:proofErr w:type="spellEnd"/>
            <w:r w:rsidRPr="002252DF">
              <w:rPr>
                <w:bCs/>
                <w:u w:val="none"/>
              </w:rPr>
              <w:t xml:space="preserve"> </w:t>
            </w:r>
            <w:proofErr w:type="spellStart"/>
            <w:r w:rsidRPr="002252DF">
              <w:rPr>
                <w:bCs/>
                <w:u w:val="none"/>
              </w:rPr>
              <w:t>Spannig</w:t>
            </w:r>
            <w:proofErr w:type="spellEnd"/>
            <w:r w:rsidRPr="002252DF">
              <w:rPr>
                <w:bCs/>
                <w:u w:val="none"/>
              </w:rPr>
              <w:t xml:space="preserve"> </w:t>
            </w:r>
            <w:proofErr w:type="spellStart"/>
            <w:r w:rsidRPr="002252DF">
              <w:rPr>
                <w:bCs/>
                <w:u w:val="none"/>
              </w:rPr>
              <w:t>Tree</w:t>
            </w:r>
            <w:proofErr w:type="spellEnd"/>
            <w:r w:rsidRPr="002252DF">
              <w:rPr>
                <w:bCs/>
                <w:u w:val="none"/>
              </w:rPr>
              <w:t xml:space="preserve">, zgodnie z IEEE 802.1D i 802.1w, a także </w:t>
            </w:r>
            <w:proofErr w:type="spellStart"/>
            <w:r w:rsidRPr="002252DF">
              <w:rPr>
                <w:bCs/>
                <w:u w:val="none"/>
              </w:rPr>
              <w:t>Multiple</w:t>
            </w:r>
            <w:proofErr w:type="spellEnd"/>
            <w:r w:rsidRPr="002252DF">
              <w:rPr>
                <w:bCs/>
                <w:u w:val="none"/>
              </w:rPr>
              <w:t xml:space="preserve"> </w:t>
            </w:r>
            <w:proofErr w:type="spellStart"/>
            <w:r w:rsidRPr="002252DF">
              <w:rPr>
                <w:bCs/>
                <w:u w:val="none"/>
              </w:rPr>
              <w:t>Spanning</w:t>
            </w:r>
            <w:proofErr w:type="spellEnd"/>
            <w:r w:rsidRPr="002252DF">
              <w:rPr>
                <w:bCs/>
                <w:u w:val="none"/>
              </w:rPr>
              <w:t xml:space="preserve"> </w:t>
            </w:r>
            <w:proofErr w:type="spellStart"/>
            <w:r w:rsidRPr="002252DF">
              <w:rPr>
                <w:bCs/>
                <w:u w:val="none"/>
              </w:rPr>
              <w:t>Tree</w:t>
            </w:r>
            <w:proofErr w:type="spellEnd"/>
            <w:r w:rsidRPr="002252DF">
              <w:rPr>
                <w:bCs/>
                <w:u w:val="none"/>
              </w:rPr>
              <w:t xml:space="preserve"> zgodnie z IEEE 802.1s 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F4E9" w14:textId="77777777" w:rsidR="002252DF" w:rsidRPr="002252DF" w:rsidRDefault="002252DF" w:rsidP="002252DF">
            <w:pPr>
              <w:rPr>
                <w:b/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67DFD" w14:textId="77777777" w:rsidR="002252DF" w:rsidRPr="002252DF" w:rsidRDefault="002252DF" w:rsidP="002252DF">
            <w:pPr>
              <w:rPr>
                <w:b/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2B73784C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84F1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C361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3210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proofErr w:type="spellStart"/>
            <w:r w:rsidRPr="002252DF">
              <w:rPr>
                <w:bCs/>
                <w:u w:val="none"/>
              </w:rPr>
              <w:t>Pprzełącznik</w:t>
            </w:r>
            <w:proofErr w:type="spellEnd"/>
            <w:r w:rsidRPr="002252DF">
              <w:rPr>
                <w:bCs/>
                <w:u w:val="none"/>
              </w:rPr>
              <w:t xml:space="preserve"> musi obsługiwać routing między sieciami VLAN – routing statyczny, oraz protokół routingu dynamicznego RIP.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50C7" w14:textId="77777777" w:rsidR="002252DF" w:rsidRPr="002252DF" w:rsidRDefault="002252DF" w:rsidP="002252DF">
            <w:pPr>
              <w:rPr>
                <w:b/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A847" w14:textId="77777777" w:rsidR="002252DF" w:rsidRPr="002252DF" w:rsidRDefault="002252DF" w:rsidP="002252DF">
            <w:pPr>
              <w:rPr>
                <w:b/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13F7ED5B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C08C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7287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A3AC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Realizacja łączy agregowanych (LACP) w ramach różnych przełączników będących w stosie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D66D" w14:textId="77777777" w:rsidR="002252DF" w:rsidRPr="002252DF" w:rsidRDefault="002252DF" w:rsidP="002252DF">
            <w:pPr>
              <w:rPr>
                <w:b/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DE61" w14:textId="77777777" w:rsidR="002252DF" w:rsidRPr="002252DF" w:rsidRDefault="002252DF" w:rsidP="002252DF">
            <w:pPr>
              <w:rPr>
                <w:b/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69D2720C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985CA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E6608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D1DF8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Przełącznik musi posiadać możliwość uruchomienia protokołów routingu dynamicznego, dla IPv4 (co najmniej statyczny, RIPv2 ,OSPF) oraz dla IPv6 (nie mniej niż statyczny, </w:t>
            </w:r>
            <w:proofErr w:type="spellStart"/>
            <w:r w:rsidRPr="002252DF">
              <w:rPr>
                <w:bCs/>
                <w:u w:val="none"/>
              </w:rPr>
              <w:t>RIPng</w:t>
            </w:r>
            <w:proofErr w:type="spellEnd"/>
            <w:r w:rsidRPr="002252DF">
              <w:rPr>
                <w:bCs/>
                <w:u w:val="none"/>
              </w:rPr>
              <w:t>, OSPFv3). Dopuszcza się wsparcie dla OSPF ograniczone do jednego obszaru i co najmniej 8 interfejsów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7D80" w14:textId="77777777" w:rsidR="002252DF" w:rsidRPr="002252DF" w:rsidRDefault="002252DF" w:rsidP="002252DF">
            <w:pPr>
              <w:rPr>
                <w:b/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5924" w14:textId="77777777" w:rsidR="002252DF" w:rsidRPr="002252DF" w:rsidRDefault="002252DF" w:rsidP="002252DF">
            <w:pPr>
              <w:rPr>
                <w:b/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66062461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2A7F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38CF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1B8B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Urządzenie musi umożliwiać przechowywanie co najmniej dwóch wersji oprogramowania i plików konfiguracyjnych na przełączniku. Urządzenie musi umożliwiać zapisanie aktualnej konfiguracji w postaci tekstowej (może być skompresowana jeśli istnieje niezależny, bezpłatny program do jej rozpakowania) w wewnętrznej pamięci nieulotnej oraz na urządzeniach zewnętrznych przy pomocy protokołu </w:t>
            </w:r>
            <w:proofErr w:type="spellStart"/>
            <w:r w:rsidRPr="002252DF">
              <w:rPr>
                <w:bCs/>
                <w:u w:val="none"/>
              </w:rPr>
              <w:t>tftp</w:t>
            </w:r>
            <w:proofErr w:type="spellEnd"/>
            <w:r w:rsidRPr="002252DF">
              <w:rPr>
                <w:bCs/>
                <w:u w:val="none"/>
              </w:rPr>
              <w:t xml:space="preserve">, ftp lub </w:t>
            </w:r>
            <w:proofErr w:type="spellStart"/>
            <w:r w:rsidRPr="002252DF">
              <w:rPr>
                <w:bCs/>
                <w:u w:val="none"/>
              </w:rPr>
              <w:t>scp</w:t>
            </w:r>
            <w:proofErr w:type="spellEnd"/>
            <w:r w:rsidRPr="002252DF">
              <w:rPr>
                <w:bCs/>
                <w:u w:val="none"/>
              </w:rPr>
              <w:t>. Musi istnieć możliwość modyfikowania konfiguracji poza urządzeniem i ponownego jej wczytania do urządzenia.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5BC5" w14:textId="77777777" w:rsidR="002252DF" w:rsidRPr="002252DF" w:rsidRDefault="002252DF" w:rsidP="002252DF">
            <w:pPr>
              <w:rPr>
                <w:b/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57DA" w14:textId="77777777" w:rsidR="002252DF" w:rsidRPr="002252DF" w:rsidRDefault="002252DF" w:rsidP="002252DF">
            <w:pPr>
              <w:rPr>
                <w:b/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4FD40215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8372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569A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80F8A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Przełącznik musi obsługiwać funkcję autoryzacji logowania do urządzenia za pomocą serwerów RADIUS albo TACACS+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E073" w14:textId="77777777" w:rsidR="002252DF" w:rsidRPr="002252DF" w:rsidRDefault="002252DF" w:rsidP="002252DF">
            <w:pPr>
              <w:rPr>
                <w:b/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61E9" w14:textId="77777777" w:rsidR="002252DF" w:rsidRPr="002252DF" w:rsidRDefault="002252DF" w:rsidP="002252DF">
            <w:pPr>
              <w:rPr>
                <w:b/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2A4066E4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C2B0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9925D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A4A5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Przełącznik musi obsługiwać Obsługa list ACL na bazie informacji z warstw 2/3/4 modelu OSI.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23E3" w14:textId="77777777" w:rsidR="002252DF" w:rsidRPr="002252DF" w:rsidRDefault="002252DF" w:rsidP="002252DF">
            <w:pPr>
              <w:rPr>
                <w:b/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2930F" w14:textId="77777777" w:rsidR="002252DF" w:rsidRPr="002252DF" w:rsidRDefault="002252DF" w:rsidP="002252DF">
            <w:pPr>
              <w:rPr>
                <w:b/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56533B1C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F466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B00A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584E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Przełącznik musi obsługiwać Funkcje mirroring portów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9F05" w14:textId="77777777" w:rsidR="002252DF" w:rsidRPr="002252DF" w:rsidRDefault="002252DF" w:rsidP="002252DF">
            <w:pPr>
              <w:rPr>
                <w:b/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783A" w14:textId="77777777" w:rsidR="002252DF" w:rsidRPr="002252DF" w:rsidRDefault="002252DF" w:rsidP="002252DF">
            <w:pPr>
              <w:rPr>
                <w:b/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5156B8B4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8CB1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5553E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3F76D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Przełącznik musi wspierać funkcję DHCP </w:t>
            </w:r>
            <w:proofErr w:type="spellStart"/>
            <w:r w:rsidRPr="002252DF">
              <w:rPr>
                <w:bCs/>
                <w:u w:val="none"/>
              </w:rPr>
              <w:t>server</w:t>
            </w:r>
            <w:proofErr w:type="spellEnd"/>
            <w:r w:rsidRPr="002252DF">
              <w:rPr>
                <w:bCs/>
                <w:u w:val="none"/>
              </w:rPr>
              <w:t xml:space="preserve">, DHCP </w:t>
            </w:r>
            <w:proofErr w:type="spellStart"/>
            <w:r w:rsidRPr="002252DF">
              <w:rPr>
                <w:bCs/>
                <w:u w:val="none"/>
              </w:rPr>
              <w:t>Relay</w:t>
            </w:r>
            <w:proofErr w:type="spellEnd"/>
            <w:r w:rsidRPr="002252DF">
              <w:rPr>
                <w:bCs/>
                <w:u w:val="none"/>
              </w:rPr>
              <w:t xml:space="preserve"> oraz DHCP </w:t>
            </w:r>
            <w:proofErr w:type="spellStart"/>
            <w:r w:rsidRPr="002252DF">
              <w:rPr>
                <w:bCs/>
                <w:u w:val="none"/>
              </w:rPr>
              <w:t>Snooping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EA84" w14:textId="77777777" w:rsidR="002252DF" w:rsidRPr="002252DF" w:rsidRDefault="002252DF" w:rsidP="002252DF">
            <w:pPr>
              <w:rPr>
                <w:b/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7C3B" w14:textId="77777777" w:rsidR="002252DF" w:rsidRPr="002252DF" w:rsidRDefault="002252DF" w:rsidP="002252DF">
            <w:pPr>
              <w:rPr>
                <w:b/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60809AA8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9FFF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9B82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819A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Przełącznik musi obsługiwać Network Time </w:t>
            </w:r>
            <w:proofErr w:type="spellStart"/>
            <w:r w:rsidRPr="002252DF">
              <w:rPr>
                <w:bCs/>
                <w:u w:val="none"/>
              </w:rPr>
              <w:t>Protocol</w:t>
            </w:r>
            <w:proofErr w:type="spellEnd"/>
            <w:r w:rsidRPr="002252DF">
              <w:rPr>
                <w:bCs/>
                <w:u w:val="none"/>
              </w:rPr>
              <w:t xml:space="preserve"> (NTP) oraz Simple Network Time </w:t>
            </w:r>
            <w:proofErr w:type="spellStart"/>
            <w:r w:rsidRPr="002252DF">
              <w:rPr>
                <w:bCs/>
                <w:u w:val="none"/>
              </w:rPr>
              <w:t>Protocol</w:t>
            </w:r>
            <w:proofErr w:type="spellEnd"/>
            <w:r w:rsidRPr="002252DF">
              <w:rPr>
                <w:bCs/>
                <w:u w:val="none"/>
              </w:rPr>
              <w:t xml:space="preserve"> (SNTP)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AD57" w14:textId="77777777" w:rsidR="002252DF" w:rsidRPr="002252DF" w:rsidRDefault="002252DF" w:rsidP="002252DF">
            <w:pPr>
              <w:rPr>
                <w:b/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A585" w14:textId="77777777" w:rsidR="002252DF" w:rsidRPr="002252DF" w:rsidRDefault="002252DF" w:rsidP="002252DF">
            <w:pPr>
              <w:rPr>
                <w:b/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12A01E4A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19D7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1BC8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96DC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Przełącznik musi generować logi dotyczące zdarzeń na nim zachodzących. Użytkownik musi mieć dostęp do dokumentacji producenta urządzenia z wyjaśnieniami znaczenia poszczególnych wpisów w logach. Logi muszą być </w:t>
            </w:r>
            <w:r w:rsidRPr="002252DF">
              <w:rPr>
                <w:bCs/>
                <w:u w:val="none"/>
              </w:rPr>
              <w:lastRenderedPageBreak/>
              <w:t xml:space="preserve">dostępne lokalnie na urządzeniu oraz przesyłane do innych urządzeń z użyciem protokołu </w:t>
            </w:r>
            <w:proofErr w:type="spellStart"/>
            <w:r w:rsidRPr="002252DF">
              <w:rPr>
                <w:bCs/>
                <w:u w:val="none"/>
              </w:rPr>
              <w:t>syslog</w:t>
            </w:r>
            <w:proofErr w:type="spellEnd"/>
            <w:r w:rsidRPr="002252DF">
              <w:rPr>
                <w:bCs/>
                <w:u w:val="none"/>
              </w:rPr>
              <w:t xml:space="preserve"> (przy użyciu protokołu ipv4 lub ipv6, zależnie od konfiguracji dokonanej przez użytkownika).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292D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C601E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0A2BEBED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6C9FC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F9EDD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67B6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Przełącznik musi być przystosowany do pracy ciągłej przy temperaturze otoczenia z zakresu 0 – 45oC.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B2BE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F0626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4BD766E3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89FC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6CCD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2CFA8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Wysokość przełącznika w szafie 19’ – 1U a maksymalna głębokość to 35 cm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6267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0BB8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3C15B273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F286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D347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010B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Maksymalny pobór mocy przełącznika (bez </w:t>
            </w:r>
            <w:proofErr w:type="spellStart"/>
            <w:r w:rsidRPr="002252DF">
              <w:rPr>
                <w:bCs/>
                <w:u w:val="none"/>
              </w:rPr>
              <w:t>PoE</w:t>
            </w:r>
            <w:proofErr w:type="spellEnd"/>
            <w:r w:rsidRPr="002252DF">
              <w:rPr>
                <w:bCs/>
                <w:u w:val="none"/>
              </w:rPr>
              <w:t>) nie większy niż 250W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C9F4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7001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6D1AECBD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C8AF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B26B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B2B4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Wewnętrzny zasilacz 230V zapewniający budżet mocy </w:t>
            </w:r>
            <w:proofErr w:type="spellStart"/>
            <w:r w:rsidRPr="002252DF">
              <w:rPr>
                <w:bCs/>
                <w:u w:val="none"/>
              </w:rPr>
              <w:t>PoE</w:t>
            </w:r>
            <w:proofErr w:type="spellEnd"/>
            <w:r w:rsidRPr="002252DF">
              <w:rPr>
                <w:bCs/>
                <w:u w:val="none"/>
              </w:rPr>
              <w:t xml:space="preserve"> na poziomie nie niższym niż 370W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525F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DC15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5B2200D4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0A11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40E4F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C842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Przełącznik musi wspierać </w:t>
            </w:r>
            <w:proofErr w:type="spellStart"/>
            <w:r w:rsidRPr="002252DF">
              <w:rPr>
                <w:bCs/>
                <w:u w:val="none"/>
              </w:rPr>
              <w:t>aautomatyczne</w:t>
            </w:r>
            <w:proofErr w:type="spellEnd"/>
            <w:r w:rsidRPr="002252DF">
              <w:rPr>
                <w:bCs/>
                <w:u w:val="none"/>
              </w:rPr>
              <w:t xml:space="preserve"> wykrywanie punktów bezprzewodowych podłączonych do przełącznika, automatyczne konfigurowanie portów, do których są one podłączone (minimum sieć VLAN, </w:t>
            </w:r>
            <w:proofErr w:type="spellStart"/>
            <w:r w:rsidRPr="002252DF">
              <w:rPr>
                <w:bCs/>
                <w:u w:val="none"/>
              </w:rPr>
              <w:t>CoS</w:t>
            </w:r>
            <w:proofErr w:type="spellEnd"/>
            <w:r w:rsidRPr="002252DF">
              <w:rPr>
                <w:bCs/>
                <w:u w:val="none"/>
              </w:rPr>
              <w:t xml:space="preserve">, budżet mocy </w:t>
            </w:r>
            <w:proofErr w:type="spellStart"/>
            <w:r w:rsidRPr="002252DF">
              <w:rPr>
                <w:bCs/>
                <w:u w:val="none"/>
              </w:rPr>
              <w:t>PoE</w:t>
            </w:r>
            <w:proofErr w:type="spellEnd"/>
            <w:r w:rsidRPr="002252DF">
              <w:rPr>
                <w:bCs/>
                <w:u w:val="none"/>
              </w:rPr>
              <w:t xml:space="preserve">, priorytet </w:t>
            </w:r>
            <w:proofErr w:type="spellStart"/>
            <w:r w:rsidRPr="002252DF">
              <w:rPr>
                <w:bCs/>
                <w:u w:val="none"/>
              </w:rPr>
              <w:t>PoE</w:t>
            </w:r>
            <w:proofErr w:type="spellEnd"/>
            <w:r w:rsidRPr="002252DF">
              <w:rPr>
                <w:bCs/>
                <w:u w:val="none"/>
              </w:rPr>
              <w:t>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8AD4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D4C8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592F41EA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AEBD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A6DD0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A6A6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Urządzenie musi obsługiwać ruch Multicast: IGMP </w:t>
            </w:r>
            <w:proofErr w:type="spellStart"/>
            <w:r w:rsidRPr="002252DF">
              <w:rPr>
                <w:bCs/>
                <w:u w:val="none"/>
              </w:rPr>
              <w:t>Snooping</w:t>
            </w:r>
            <w:proofErr w:type="spellEnd"/>
            <w:r w:rsidRPr="002252DF">
              <w:rPr>
                <w:bCs/>
                <w:u w:val="none"/>
              </w:rPr>
              <w:t xml:space="preserve">; MLD </w:t>
            </w:r>
            <w:proofErr w:type="spellStart"/>
            <w:r w:rsidRPr="002252DF">
              <w:rPr>
                <w:bCs/>
                <w:u w:val="none"/>
              </w:rPr>
              <w:t>Snooping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D8DD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76B7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4E8EB143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9C62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FE13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C14B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Urządzenie musi obsługiwać </w:t>
            </w:r>
            <w:proofErr w:type="spellStart"/>
            <w:r w:rsidRPr="002252DF">
              <w:rPr>
                <w:bCs/>
                <w:u w:val="none"/>
              </w:rPr>
              <w:t>VxLAN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4266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08F6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7873F388" w14:textId="77777777" w:rsidTr="002252DF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46C2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5E22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4081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Urządzenie musi obsługiwać VTP lub MVRP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5BF8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E2165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445288E9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2B26D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C98D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80AC7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Urządzenie musi obsługiwać sprzętowo nie mniej niż 8 kolejek per port fizyczny.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44FE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8FCE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7AA71478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1987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2371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F5FE5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Przełącznik musi wspierać </w:t>
            </w:r>
            <w:proofErr w:type="spellStart"/>
            <w:r w:rsidRPr="002252DF">
              <w:rPr>
                <w:bCs/>
                <w:u w:val="none"/>
              </w:rPr>
              <w:t>Energy-efficient</w:t>
            </w:r>
            <w:proofErr w:type="spellEnd"/>
            <w:r w:rsidRPr="002252DF">
              <w:rPr>
                <w:bCs/>
                <w:u w:val="none"/>
              </w:rPr>
              <w:t xml:space="preserve"> Ethernet (EEE) IEEE 802.3az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B6B9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AB94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31B96835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3946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3209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43A2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Przełącznik musi obsługiwać IEEE 802.1x zarówno dla pojedynczego, jak i wielu suplikantów na porcie.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78D0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9B108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3EB7D9B5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8D1A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DBBD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AB78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Przełącznik musi obsługiwać takie mechanizmu bezpieczeństwa STP </w:t>
            </w:r>
            <w:proofErr w:type="spellStart"/>
            <w:r w:rsidRPr="002252DF">
              <w:rPr>
                <w:bCs/>
                <w:u w:val="none"/>
              </w:rPr>
              <w:t>root</w:t>
            </w:r>
            <w:proofErr w:type="spellEnd"/>
            <w:r w:rsidRPr="002252DF">
              <w:rPr>
                <w:bCs/>
                <w:u w:val="none"/>
              </w:rPr>
              <w:t xml:space="preserve"> </w:t>
            </w:r>
            <w:proofErr w:type="spellStart"/>
            <w:r w:rsidRPr="002252DF">
              <w:rPr>
                <w:bCs/>
                <w:u w:val="none"/>
              </w:rPr>
              <w:t>guard</w:t>
            </w:r>
            <w:proofErr w:type="spellEnd"/>
            <w:r w:rsidRPr="002252DF">
              <w:rPr>
                <w:bCs/>
                <w:u w:val="none"/>
              </w:rPr>
              <w:t xml:space="preserve">, Port </w:t>
            </w:r>
            <w:proofErr w:type="spellStart"/>
            <w:r w:rsidRPr="002252DF">
              <w:rPr>
                <w:bCs/>
                <w:u w:val="none"/>
              </w:rPr>
              <w:t>security</w:t>
            </w:r>
            <w:proofErr w:type="spellEnd"/>
            <w:r w:rsidRPr="002252DF">
              <w:rPr>
                <w:bCs/>
                <w:u w:val="none"/>
              </w:rPr>
              <w:t xml:space="preserve">, MAC </w:t>
            </w:r>
            <w:proofErr w:type="spellStart"/>
            <w:r w:rsidRPr="002252DF">
              <w:rPr>
                <w:bCs/>
                <w:u w:val="none"/>
              </w:rPr>
              <w:t>address</w:t>
            </w:r>
            <w:proofErr w:type="spellEnd"/>
            <w:r w:rsidRPr="002252DF">
              <w:rPr>
                <w:bCs/>
                <w:u w:val="none"/>
              </w:rPr>
              <w:t xml:space="preserve"> </w:t>
            </w:r>
            <w:proofErr w:type="spellStart"/>
            <w:r w:rsidRPr="002252DF">
              <w:rPr>
                <w:bCs/>
                <w:u w:val="none"/>
              </w:rPr>
              <w:t>lockout</w:t>
            </w:r>
            <w:proofErr w:type="spellEnd"/>
            <w:r w:rsidRPr="002252DF">
              <w:rPr>
                <w:bCs/>
                <w:u w:val="none"/>
              </w:rPr>
              <w:t xml:space="preserve">, STP BPDU port </w:t>
            </w:r>
            <w:proofErr w:type="spellStart"/>
            <w:r w:rsidRPr="002252DF">
              <w:rPr>
                <w:bCs/>
                <w:u w:val="none"/>
              </w:rPr>
              <w:t>protection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CAD9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BFC6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7FF6F46F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D93C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9C87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2B6B1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 xml:space="preserve">Przełącznik musi obsługiwać protokół </w:t>
            </w:r>
            <w:proofErr w:type="spellStart"/>
            <w:r w:rsidRPr="002252DF">
              <w:rPr>
                <w:bCs/>
                <w:u w:val="none"/>
              </w:rPr>
              <w:t>OpenFlow</w:t>
            </w:r>
            <w:proofErr w:type="spellEnd"/>
            <w:r w:rsidRPr="002252DF">
              <w:rPr>
                <w:bCs/>
                <w:u w:val="none"/>
              </w:rPr>
              <w:t xml:space="preserve"> w wersji 1.0 oraz 1.3. </w:t>
            </w:r>
            <w:proofErr w:type="spellStart"/>
            <w:r w:rsidRPr="002252DF">
              <w:rPr>
                <w:bCs/>
                <w:u w:val="none"/>
              </w:rPr>
              <w:t>OpenFlow</w:t>
            </w:r>
            <w:proofErr w:type="spellEnd"/>
            <w:r w:rsidRPr="002252DF">
              <w:rPr>
                <w:bCs/>
                <w:u w:val="none"/>
              </w:rPr>
              <w:t xml:space="preserve"> musi posiadać możliwość konfiguracji przetwarzania pakietów przez przełącznik w oparciu o ciąg tablic. Musi być możliwe wielotablicowe przetwarzanie zapytań </w:t>
            </w:r>
            <w:proofErr w:type="spellStart"/>
            <w:r w:rsidRPr="002252DF">
              <w:rPr>
                <w:bCs/>
                <w:u w:val="none"/>
              </w:rPr>
              <w:t>OpenFlow</w:t>
            </w:r>
            <w:proofErr w:type="spellEnd"/>
            <w:r w:rsidRPr="002252DF">
              <w:rPr>
                <w:bCs/>
                <w:u w:val="none"/>
              </w:rPr>
              <w:t xml:space="preserve"> zawierająca następujące tablice do przetwarzania reguł sprzętowo w oparciu o: źródłowe i docelowe adresy MAC, źródłowy i docelowy adres IP oraz nr portu, numer portu wejściowego (pole IP DSCP oraz VLAN PCP). Musi być możliwe przypisywanie więcej niż jednej akcji zadanemu wpisowi </w:t>
            </w:r>
            <w:proofErr w:type="spellStart"/>
            <w:r w:rsidRPr="002252DF">
              <w:rPr>
                <w:bCs/>
                <w:u w:val="none"/>
              </w:rPr>
              <w:t>OpenFlow</w:t>
            </w:r>
            <w:proofErr w:type="spellEnd"/>
            <w:r w:rsidRPr="002252DF">
              <w:rPr>
                <w:bCs/>
                <w:u w:val="none"/>
              </w:rPr>
              <w:t xml:space="preserve">. Musi być możliwe tworzenie logicznych tuneli poprzez komunikaty SNMP i możliwość ich wykorzystania w kierowaniu ruchem w sposób sterowany za pomocą protokołu </w:t>
            </w:r>
            <w:proofErr w:type="spellStart"/>
            <w:r w:rsidRPr="002252DF">
              <w:rPr>
                <w:bCs/>
                <w:u w:val="none"/>
              </w:rPr>
              <w:t>OpenFlow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815D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9730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61DEE9BD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C4B06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F308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492E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Urządzenie musi dać się uruchomić z obrazu systemu umieszczonego na pamięci USB, podłączonej do przełącznika.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4A4B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8FE42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2516E1C7" w14:textId="77777777" w:rsidTr="00225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E79A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E705" w14:textId="77777777" w:rsidR="002252DF" w:rsidRPr="002252DF" w:rsidRDefault="002252DF" w:rsidP="002252DF">
            <w:pPr>
              <w:rPr>
                <w:u w:val="none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901E" w14:textId="77777777" w:rsidR="002252DF" w:rsidRPr="002252DF" w:rsidRDefault="002252DF" w:rsidP="002252DF">
            <w:pPr>
              <w:numPr>
                <w:ilvl w:val="0"/>
                <w:numId w:val="7"/>
              </w:numPr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Wszystkie dostępne na przełączniku funkcje (tak wyspecyfikowane jak i nie wyspecyfikowane) muszą być dostępne przez cały okres jego użytkowania. Jeżeli funkcjonalność wymaga licencji lub subskrypcji należy je dostarczyć. Licencje i subskrypcje mają być bezterminowe.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BEEB" w14:textId="77777777" w:rsidR="002252DF" w:rsidRPr="002252DF" w:rsidRDefault="002252DF" w:rsidP="002252DF">
            <w:pPr>
              <w:rPr>
                <w:i/>
                <w:u w:val="none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061F" w14:textId="77777777" w:rsidR="002252DF" w:rsidRPr="002252DF" w:rsidRDefault="002252DF" w:rsidP="002252DF">
            <w:pPr>
              <w:rPr>
                <w:u w:val="none"/>
              </w:rPr>
            </w:pPr>
            <w:r w:rsidRPr="002252DF">
              <w:rPr>
                <w:u w:val="none"/>
              </w:rPr>
              <w:t>bez oceny</w:t>
            </w:r>
          </w:p>
        </w:tc>
      </w:tr>
      <w:tr w:rsidR="002252DF" w:rsidRPr="002252DF" w14:paraId="5EBC0208" w14:textId="77777777" w:rsidTr="002252D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05559" w14:textId="77777777" w:rsidR="002252DF" w:rsidRPr="002252DF" w:rsidRDefault="002252DF" w:rsidP="002252DF">
            <w:pPr>
              <w:ind w:left="360"/>
              <w:rPr>
                <w:u w:val="none"/>
                <w:lang w:eastAsia="pl-PL"/>
              </w:rPr>
            </w:pPr>
            <w:r w:rsidRPr="002252DF">
              <w:rPr>
                <w:u w:val="none"/>
                <w:lang w:eastAsia="pl-PL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312B" w14:textId="77777777" w:rsidR="002252DF" w:rsidRPr="002252DF" w:rsidRDefault="002252DF" w:rsidP="002252DF">
            <w:pPr>
              <w:ind w:left="360"/>
              <w:rPr>
                <w:u w:val="none"/>
                <w:lang w:eastAsia="pl-PL"/>
              </w:rPr>
            </w:pPr>
            <w:r w:rsidRPr="002252DF">
              <w:rPr>
                <w:u w:val="none"/>
                <w:lang w:eastAsia="pl-PL"/>
              </w:rPr>
              <w:t>Gwarancja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5FF96" w14:textId="77777777" w:rsidR="002252DF" w:rsidRPr="002252DF" w:rsidRDefault="002252DF" w:rsidP="002252DF">
            <w:pPr>
              <w:ind w:left="360"/>
              <w:jc w:val="both"/>
              <w:rPr>
                <w:u w:val="none"/>
              </w:rPr>
            </w:pPr>
            <w:r w:rsidRPr="002252DF">
              <w:rPr>
                <w:u w:val="none"/>
              </w:rPr>
              <w:t xml:space="preserve">Min. 12  miesięcy, max. 24 miesiące gwarancja - producenta obejmująca wszystkie elementy przełącznika (również zasilacze i wentylatory) zapewniająca dostawę sprawnego sprzętu na wymianę na maksymalnie następny dzień roboczy. </w:t>
            </w:r>
          </w:p>
          <w:p w14:paraId="620AE379" w14:textId="77777777" w:rsidR="002252DF" w:rsidRPr="002252DF" w:rsidRDefault="002252DF" w:rsidP="002252DF">
            <w:pPr>
              <w:ind w:left="360"/>
              <w:jc w:val="both"/>
              <w:rPr>
                <w:u w:val="none"/>
              </w:rPr>
            </w:pPr>
            <w:r w:rsidRPr="002252DF">
              <w:rPr>
                <w:u w:val="none"/>
              </w:rPr>
              <w:lastRenderedPageBreak/>
              <w:t>Gwarancja musi zapewniać również dostęp do poprawek oprogramowania urządzenia oraz wsparcia technicznego. Wymagana jest dostępność usługi w trybie 8x5. Gwarancja na urządzenie musi być weryfikowalna na stronie producenta po podaniu numeru seryjnego lub rejestracji dostarczonego urządzenia stronie producenta .</w:t>
            </w:r>
          </w:p>
          <w:p w14:paraId="56C58BD2" w14:textId="77777777" w:rsidR="002252DF" w:rsidRPr="002252DF" w:rsidRDefault="002252DF" w:rsidP="002252DF">
            <w:pPr>
              <w:ind w:left="360"/>
              <w:jc w:val="both"/>
              <w:rPr>
                <w:u w:val="none"/>
              </w:rPr>
            </w:pPr>
            <w:r w:rsidRPr="002252DF">
              <w:rPr>
                <w:u w:val="none"/>
              </w:rPr>
              <w:t>Serwis i aktualizacje oprogramowania i poprawki muszą być dostępne przez cały okres gwarancji.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1E295" w14:textId="77777777" w:rsidR="002252DF" w:rsidRPr="002252DF" w:rsidRDefault="002252DF" w:rsidP="002252DF">
            <w:pPr>
              <w:spacing w:after="200" w:line="276" w:lineRule="auto"/>
              <w:jc w:val="center"/>
              <w:rPr>
                <w:rFonts w:eastAsia="Calibri"/>
                <w:i/>
                <w:iCs/>
                <w:u w:val="none"/>
                <w:lang w:eastAsia="pl-PL"/>
              </w:rPr>
            </w:pPr>
            <w:r w:rsidRPr="002252DF">
              <w:rPr>
                <w:rFonts w:eastAsia="Calibri"/>
                <w:i/>
                <w:iCs/>
                <w:u w:val="none"/>
                <w:lang w:eastAsia="pl-PL"/>
              </w:rPr>
              <w:lastRenderedPageBreak/>
              <w:t>wpisać odpowiednio</w:t>
            </w:r>
          </w:p>
          <w:p w14:paraId="3EAE7287" w14:textId="77777777" w:rsidR="002252DF" w:rsidRPr="002252DF" w:rsidRDefault="002252DF" w:rsidP="002252DF">
            <w:pPr>
              <w:spacing w:after="200" w:line="276" w:lineRule="auto"/>
              <w:jc w:val="center"/>
              <w:rPr>
                <w:rFonts w:eastAsia="Calibri"/>
                <w:i/>
                <w:iCs/>
                <w:u w:val="none"/>
                <w:lang w:eastAsia="pl-PL"/>
              </w:rPr>
            </w:pPr>
            <w:r w:rsidRPr="002252DF">
              <w:rPr>
                <w:rFonts w:eastAsia="Calibri"/>
                <w:i/>
                <w:iCs/>
                <w:u w:val="none"/>
                <w:lang w:eastAsia="pl-PL"/>
              </w:rPr>
              <w:lastRenderedPageBreak/>
              <w:t>……………………….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7D62" w14:textId="2D76C741" w:rsidR="002252DF" w:rsidRPr="002252DF" w:rsidRDefault="002252DF" w:rsidP="002252DF">
            <w:pPr>
              <w:spacing w:after="200" w:line="276" w:lineRule="auto"/>
              <w:rPr>
                <w:rFonts w:eastAsia="Calibri"/>
                <w:i/>
                <w:u w:val="none"/>
              </w:rPr>
            </w:pPr>
            <w:r w:rsidRPr="002252DF">
              <w:rPr>
                <w:rFonts w:eastAsia="Calibri"/>
                <w:i/>
                <w:u w:val="none"/>
              </w:rPr>
              <w:lastRenderedPageBreak/>
              <w:t>Parametr oceniany</w:t>
            </w:r>
          </w:p>
          <w:p w14:paraId="6E12F85C" w14:textId="7F037FB2" w:rsidR="002252DF" w:rsidRPr="002252DF" w:rsidRDefault="002252DF" w:rsidP="002252DF">
            <w:pPr>
              <w:spacing w:line="276" w:lineRule="auto"/>
              <w:rPr>
                <w:rFonts w:eastAsia="Calibri"/>
                <w:u w:val="none"/>
              </w:rPr>
            </w:pPr>
          </w:p>
          <w:p w14:paraId="68CEC081" w14:textId="40C6CDB3" w:rsidR="002252DF" w:rsidRPr="002252DF" w:rsidRDefault="002252DF" w:rsidP="002252DF">
            <w:pPr>
              <w:spacing w:line="276" w:lineRule="auto"/>
              <w:rPr>
                <w:rFonts w:eastAsia="Calibri"/>
                <w:u w:val="none"/>
              </w:rPr>
            </w:pPr>
          </w:p>
        </w:tc>
      </w:tr>
      <w:tr w:rsidR="002252DF" w:rsidRPr="002252DF" w14:paraId="1FD98FE1" w14:textId="77777777" w:rsidTr="002252D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DFB2" w14:textId="77777777" w:rsidR="002252DF" w:rsidRPr="002252DF" w:rsidRDefault="002252DF" w:rsidP="002252DF">
            <w:pPr>
              <w:ind w:left="360"/>
              <w:rPr>
                <w:u w:val="none"/>
                <w:lang w:eastAsia="pl-PL"/>
              </w:rPr>
            </w:pPr>
            <w:r w:rsidRPr="002252DF">
              <w:rPr>
                <w:u w:val="none"/>
                <w:lang w:eastAsia="pl-PL"/>
              </w:rPr>
              <w:lastRenderedPageBreak/>
              <w:t>5.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93FE" w14:textId="77777777" w:rsidR="002252DF" w:rsidRPr="002252DF" w:rsidRDefault="002252DF" w:rsidP="002252DF">
            <w:pPr>
              <w:ind w:left="360"/>
              <w:rPr>
                <w:u w:val="none"/>
                <w:lang w:eastAsia="pl-PL"/>
              </w:rPr>
            </w:pPr>
            <w:r w:rsidRPr="002252DF">
              <w:rPr>
                <w:u w:val="none"/>
                <w:lang w:eastAsia="pl-PL"/>
              </w:rPr>
              <w:t>Stan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A5982" w14:textId="77777777" w:rsidR="002252DF" w:rsidRPr="002252DF" w:rsidRDefault="002252DF" w:rsidP="002252DF">
            <w:pPr>
              <w:ind w:left="360"/>
              <w:jc w:val="both"/>
              <w:rPr>
                <w:u w:val="none"/>
                <w:lang w:eastAsia="pl-PL"/>
              </w:rPr>
            </w:pPr>
            <w:r w:rsidRPr="002252DF">
              <w:rPr>
                <w:u w:val="none"/>
                <w:lang w:eastAsia="pl-PL"/>
              </w:rPr>
              <w:t xml:space="preserve">Oferowane urządzenie musi być nowe i nieużywane w innych projektach. Oferowane urządzenie nie może być wycofane z produkcji i nie starsze niż 6 miesięcy przed dostarczeniem.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88B9" w14:textId="77777777" w:rsidR="002252DF" w:rsidRPr="002252DF" w:rsidRDefault="002252DF" w:rsidP="002252DF">
            <w:pPr>
              <w:rPr>
                <w:i/>
                <w:u w:val="none"/>
                <w:lang w:eastAsia="pl-PL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1F965" w14:textId="77777777" w:rsidR="002252DF" w:rsidRPr="002252DF" w:rsidRDefault="002252DF" w:rsidP="002252DF">
            <w:pPr>
              <w:rPr>
                <w:u w:val="none"/>
                <w:lang w:eastAsia="pl-PL"/>
              </w:rPr>
            </w:pPr>
            <w:r w:rsidRPr="002252DF">
              <w:rPr>
                <w:u w:val="none"/>
                <w:lang w:eastAsia="pl-PL"/>
              </w:rPr>
              <w:t>bez oceny</w:t>
            </w:r>
          </w:p>
        </w:tc>
      </w:tr>
      <w:tr w:rsidR="002252DF" w:rsidRPr="002252DF" w14:paraId="4E6B0431" w14:textId="77777777" w:rsidTr="002252D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6BB3" w14:textId="77777777" w:rsidR="002252DF" w:rsidRPr="002252DF" w:rsidRDefault="002252DF" w:rsidP="002252DF">
            <w:pPr>
              <w:ind w:left="360"/>
              <w:rPr>
                <w:u w:val="none"/>
                <w:lang w:eastAsia="pl-PL"/>
              </w:rPr>
            </w:pPr>
            <w:r w:rsidRPr="002252DF">
              <w:rPr>
                <w:u w:val="none"/>
                <w:lang w:eastAsia="pl-PL"/>
              </w:rPr>
              <w:t>6.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9E60" w14:textId="77777777" w:rsidR="002252DF" w:rsidRPr="002252DF" w:rsidRDefault="002252DF" w:rsidP="002252DF">
            <w:pPr>
              <w:ind w:left="360"/>
              <w:rPr>
                <w:u w:val="none"/>
                <w:lang w:eastAsia="pl-PL"/>
              </w:rPr>
            </w:pPr>
            <w:r w:rsidRPr="002252DF">
              <w:rPr>
                <w:u w:val="none"/>
                <w:lang w:eastAsia="pl-PL"/>
              </w:rPr>
              <w:t>Dodatkowe akcesoria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9588" w14:textId="77777777" w:rsidR="002252DF" w:rsidRPr="002252DF" w:rsidRDefault="002252DF" w:rsidP="002252DF">
            <w:pPr>
              <w:ind w:left="390"/>
              <w:jc w:val="both"/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Dodatkowe wyposażenie:.</w:t>
            </w:r>
          </w:p>
          <w:p w14:paraId="4F022EEA" w14:textId="77777777" w:rsidR="002252DF" w:rsidRPr="002252DF" w:rsidRDefault="002252DF" w:rsidP="002252DF">
            <w:pPr>
              <w:numPr>
                <w:ilvl w:val="0"/>
                <w:numId w:val="8"/>
              </w:numPr>
              <w:jc w:val="both"/>
              <w:rPr>
                <w:u w:val="none"/>
              </w:rPr>
            </w:pPr>
            <w:r w:rsidRPr="002252DF">
              <w:rPr>
                <w:u w:val="none"/>
              </w:rPr>
              <w:t>Moduł SFP+ SR min. 300mb – prędkość 10Gb/s 850nm – 1 szt. kompatybilny z dostarczanym urządzeniem.</w:t>
            </w:r>
          </w:p>
          <w:p w14:paraId="21CE9CCE" w14:textId="77777777" w:rsidR="002252DF" w:rsidRPr="002252DF" w:rsidRDefault="002252DF" w:rsidP="002252DF">
            <w:pPr>
              <w:numPr>
                <w:ilvl w:val="0"/>
                <w:numId w:val="8"/>
              </w:numPr>
              <w:jc w:val="both"/>
              <w:rPr>
                <w:u w:val="none"/>
              </w:rPr>
            </w:pPr>
            <w:r w:rsidRPr="002252DF">
              <w:rPr>
                <w:u w:val="none"/>
              </w:rPr>
              <w:t>Moduł SFP+ SR min. 300mb – prędkość 10Gb/s 850nm do HP 5710 – 1 szt.</w:t>
            </w:r>
          </w:p>
          <w:p w14:paraId="0E6248F4" w14:textId="77777777" w:rsidR="002252DF" w:rsidRPr="002252DF" w:rsidRDefault="002252DF" w:rsidP="002252DF">
            <w:pPr>
              <w:numPr>
                <w:ilvl w:val="0"/>
                <w:numId w:val="8"/>
              </w:numPr>
              <w:jc w:val="both"/>
              <w:rPr>
                <w:u w:val="none"/>
              </w:rPr>
            </w:pPr>
            <w:proofErr w:type="spellStart"/>
            <w:r w:rsidRPr="002252DF">
              <w:rPr>
                <w:u w:val="none"/>
                <w:lang w:val="en-US"/>
              </w:rPr>
              <w:t>Patchcord</w:t>
            </w:r>
            <w:proofErr w:type="spellEnd"/>
            <w:r w:rsidRPr="002252DF">
              <w:rPr>
                <w:u w:val="none"/>
                <w:lang w:val="en-US"/>
              </w:rPr>
              <w:t xml:space="preserve"> MM DUPLEX LC/SC. </w:t>
            </w:r>
            <w:r w:rsidRPr="002252DF">
              <w:rPr>
                <w:u w:val="none"/>
              </w:rPr>
              <w:t>OM3 długości 1m – 2 szt.</w:t>
            </w:r>
          </w:p>
          <w:p w14:paraId="6B95825E" w14:textId="77777777" w:rsidR="002252DF" w:rsidRPr="002252DF" w:rsidRDefault="002252DF" w:rsidP="002252DF">
            <w:pPr>
              <w:ind w:left="390"/>
              <w:jc w:val="both"/>
              <w:rPr>
                <w:u w:val="none"/>
              </w:rPr>
            </w:pPr>
            <w:r w:rsidRPr="002252DF">
              <w:rPr>
                <w:u w:val="none"/>
              </w:rPr>
              <w:t>.</w:t>
            </w:r>
          </w:p>
          <w:p w14:paraId="61B74629" w14:textId="77777777" w:rsidR="002252DF" w:rsidRPr="002252DF" w:rsidRDefault="002252DF" w:rsidP="002252DF">
            <w:pPr>
              <w:ind w:left="30"/>
              <w:jc w:val="both"/>
              <w:rPr>
                <w:u w:val="none"/>
                <w:lang w:val="en-US"/>
              </w:rPr>
            </w:pPr>
          </w:p>
          <w:p w14:paraId="4F0B7008" w14:textId="77777777" w:rsidR="002252DF" w:rsidRPr="002252DF" w:rsidRDefault="002252DF" w:rsidP="002252DF">
            <w:pPr>
              <w:ind w:left="360"/>
              <w:rPr>
                <w:u w:val="none"/>
                <w:lang w:val="en-US" w:eastAsia="pl-PL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B448" w14:textId="77777777" w:rsidR="002252DF" w:rsidRPr="002252DF" w:rsidRDefault="002252DF" w:rsidP="002252DF">
            <w:pPr>
              <w:rPr>
                <w:i/>
                <w:u w:val="none"/>
                <w:lang w:val="en-US" w:eastAsia="pl-PL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EBAD" w14:textId="77777777" w:rsidR="002252DF" w:rsidRPr="002252DF" w:rsidRDefault="002252DF" w:rsidP="002252DF">
            <w:pPr>
              <w:rPr>
                <w:u w:val="none"/>
                <w:lang w:val="en-US" w:eastAsia="pl-PL"/>
              </w:rPr>
            </w:pPr>
            <w:proofErr w:type="spellStart"/>
            <w:r w:rsidRPr="002252DF">
              <w:rPr>
                <w:u w:val="none"/>
                <w:lang w:val="en-US" w:eastAsia="pl-PL"/>
              </w:rPr>
              <w:t>bez</w:t>
            </w:r>
            <w:proofErr w:type="spellEnd"/>
            <w:r w:rsidRPr="002252DF">
              <w:rPr>
                <w:u w:val="none"/>
                <w:lang w:val="en-US" w:eastAsia="pl-PL"/>
              </w:rPr>
              <w:t xml:space="preserve"> </w:t>
            </w:r>
            <w:proofErr w:type="spellStart"/>
            <w:r w:rsidRPr="002252DF">
              <w:rPr>
                <w:u w:val="none"/>
                <w:lang w:val="en-US" w:eastAsia="pl-PL"/>
              </w:rPr>
              <w:t>oceny</w:t>
            </w:r>
            <w:proofErr w:type="spellEnd"/>
          </w:p>
        </w:tc>
      </w:tr>
      <w:tr w:rsidR="002252DF" w:rsidRPr="002252DF" w14:paraId="54B5D1CC" w14:textId="77777777" w:rsidTr="002252D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BC6A" w14:textId="77777777" w:rsidR="002252DF" w:rsidRPr="002252DF" w:rsidRDefault="002252DF" w:rsidP="002252DF">
            <w:pPr>
              <w:ind w:left="360"/>
              <w:rPr>
                <w:u w:val="none"/>
                <w:lang w:eastAsia="pl-PL"/>
              </w:rPr>
            </w:pPr>
            <w:r w:rsidRPr="002252DF">
              <w:rPr>
                <w:u w:val="none"/>
                <w:lang w:eastAsia="pl-PL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2EF0" w14:textId="77777777" w:rsidR="002252DF" w:rsidRPr="002252DF" w:rsidRDefault="002252DF" w:rsidP="002252DF">
            <w:pPr>
              <w:ind w:left="360"/>
              <w:rPr>
                <w:u w:val="none"/>
                <w:lang w:eastAsia="pl-PL"/>
              </w:rPr>
            </w:pPr>
            <w:r w:rsidRPr="002252DF">
              <w:rPr>
                <w:u w:val="none"/>
                <w:lang w:eastAsia="pl-PL"/>
              </w:rPr>
              <w:t>Certyfikat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6D8E" w14:textId="77777777" w:rsidR="002252DF" w:rsidRPr="002252DF" w:rsidRDefault="002252DF" w:rsidP="002252DF">
            <w:pPr>
              <w:ind w:left="390"/>
              <w:jc w:val="both"/>
              <w:rPr>
                <w:bCs/>
                <w:u w:val="none"/>
              </w:rPr>
            </w:pPr>
            <w:r w:rsidRPr="002252DF">
              <w:rPr>
                <w:bCs/>
                <w:u w:val="none"/>
              </w:rPr>
              <w:t>Deklaracja zgodności CE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9530" w14:textId="77777777" w:rsidR="002252DF" w:rsidRPr="002252DF" w:rsidRDefault="002252DF" w:rsidP="002252DF">
            <w:pPr>
              <w:rPr>
                <w:i/>
                <w:iCs/>
                <w:u w:val="none"/>
                <w:lang w:eastAsia="pl-PL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9198B" w14:textId="77777777" w:rsidR="002252DF" w:rsidRPr="002252DF" w:rsidRDefault="002252DF" w:rsidP="002252DF">
            <w:pPr>
              <w:rPr>
                <w:u w:val="none"/>
                <w:lang w:val="en-US" w:eastAsia="pl-PL"/>
              </w:rPr>
            </w:pPr>
            <w:proofErr w:type="spellStart"/>
            <w:r w:rsidRPr="002252DF">
              <w:rPr>
                <w:u w:val="none"/>
                <w:lang w:val="en-US" w:eastAsia="pl-PL"/>
              </w:rPr>
              <w:t>bez</w:t>
            </w:r>
            <w:proofErr w:type="spellEnd"/>
            <w:r w:rsidRPr="002252DF">
              <w:rPr>
                <w:u w:val="none"/>
                <w:lang w:val="en-US" w:eastAsia="pl-PL"/>
              </w:rPr>
              <w:t xml:space="preserve"> </w:t>
            </w:r>
            <w:proofErr w:type="spellStart"/>
            <w:r w:rsidRPr="002252DF">
              <w:rPr>
                <w:u w:val="none"/>
                <w:lang w:val="en-US" w:eastAsia="pl-PL"/>
              </w:rPr>
              <w:t>oceny</w:t>
            </w:r>
            <w:proofErr w:type="spellEnd"/>
          </w:p>
        </w:tc>
      </w:tr>
    </w:tbl>
    <w:p w14:paraId="41F794B9" w14:textId="5DAA8F71" w:rsidR="003631DE" w:rsidRPr="002252DF" w:rsidRDefault="003631DE" w:rsidP="002252DF">
      <w:pPr>
        <w:spacing w:after="200" w:line="276" w:lineRule="auto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0EC0E7C6" w14:textId="77777777" w:rsidR="003631DE" w:rsidRPr="002252DF" w:rsidRDefault="003631DE" w:rsidP="003631DE">
      <w:pPr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05364486" w14:textId="77777777" w:rsidR="003631DE" w:rsidRPr="002252DF" w:rsidRDefault="003631DE" w:rsidP="003631DE">
      <w:pPr>
        <w:keepNext/>
        <w:spacing w:before="240" w:after="60" w:line="240" w:lineRule="auto"/>
        <w:ind w:left="900" w:hanging="900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</w:pPr>
      <w:bookmarkStart w:id="1" w:name="_Hlk221181582"/>
      <w:r w:rsidRPr="002252DF"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  <w:t xml:space="preserve">Uwaga: </w:t>
      </w:r>
    </w:p>
    <w:p w14:paraId="57FE7ED3" w14:textId="1B29C52E" w:rsidR="003631DE" w:rsidRPr="002252DF" w:rsidRDefault="003631DE" w:rsidP="003631DE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2252DF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Pozycje wskazane w kolumnie „Wymagane minimalne parametry techniczne”–  oznaczają bezwzględny wymóg, brak żądanej opcji lub niewypełnienie pola odpowiedzi „Parametry oferowanego produktu”,  spowoduje odrzucenie oferty.</w:t>
      </w:r>
    </w:p>
    <w:p w14:paraId="009435E1" w14:textId="77777777" w:rsidR="003631DE" w:rsidRPr="002252DF" w:rsidRDefault="003631DE" w:rsidP="003631DE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</w:p>
    <w:p w14:paraId="4869B621" w14:textId="77777777" w:rsidR="003631DE" w:rsidRPr="002252DF" w:rsidRDefault="003631DE" w:rsidP="003631DE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</w:p>
    <w:p w14:paraId="5954575E" w14:textId="77777777" w:rsidR="003631DE" w:rsidRPr="002252DF" w:rsidRDefault="003631DE" w:rsidP="003631DE">
      <w:pPr>
        <w:jc w:val="right"/>
        <w:rPr>
          <w:rFonts w:ascii="Times New Roman" w:eastAsia="Calibri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</w:pPr>
      <w:r w:rsidRPr="002252DF">
        <w:rPr>
          <w:rFonts w:ascii="Times New Roman" w:eastAsia="Calibri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>…………………….……………….</w:t>
      </w:r>
    </w:p>
    <w:p w14:paraId="13A88E83" w14:textId="77777777" w:rsidR="003631DE" w:rsidRPr="003631DE" w:rsidRDefault="003631DE" w:rsidP="003631DE">
      <w:pPr>
        <w:jc w:val="right"/>
        <w:rPr>
          <w:rFonts w:ascii="Times New Roman" w:eastAsia="Calibri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</w:pPr>
      <w:r w:rsidRPr="003631DE">
        <w:rPr>
          <w:rFonts w:ascii="Times New Roman" w:eastAsia="Calibri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>Podpis Wykonawcy</w:t>
      </w:r>
    </w:p>
    <w:bookmarkEnd w:id="1"/>
    <w:p w14:paraId="7905F981" w14:textId="77777777" w:rsidR="006959B5" w:rsidRPr="003631DE" w:rsidRDefault="006959B5">
      <w:pPr>
        <w:rPr>
          <w:rFonts w:ascii="Times New Roman" w:hAnsi="Times New Roman" w:cs="Times New Roman"/>
        </w:rPr>
      </w:pPr>
    </w:p>
    <w:sectPr w:rsidR="006959B5" w:rsidRPr="003631DE" w:rsidSect="003631DE">
      <w:footerReference w:type="default" r:id="rId10"/>
      <w:pgSz w:w="16838" w:h="11906" w:orient="landscape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DDE73" w14:textId="77777777" w:rsidR="00924F29" w:rsidRDefault="00924F29" w:rsidP="003631DE">
      <w:pPr>
        <w:spacing w:after="0" w:line="240" w:lineRule="auto"/>
      </w:pPr>
      <w:r>
        <w:separator/>
      </w:r>
    </w:p>
  </w:endnote>
  <w:endnote w:type="continuationSeparator" w:id="0">
    <w:p w14:paraId="46940559" w14:textId="77777777" w:rsidR="00924F29" w:rsidRDefault="00924F29" w:rsidP="00363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0712712"/>
      <w:docPartObj>
        <w:docPartGallery w:val="Page Numbers (Bottom of Page)"/>
        <w:docPartUnique/>
      </w:docPartObj>
    </w:sdtPr>
    <w:sdtEndPr/>
    <w:sdtContent>
      <w:p w14:paraId="599818FB" w14:textId="552E95E8" w:rsidR="003631DE" w:rsidRDefault="003631DE">
        <w:pPr>
          <w:pStyle w:val="Stopka"/>
          <w:jc w:val="right"/>
        </w:pPr>
        <w:r w:rsidRPr="003631DE">
          <w:rPr>
            <w:rFonts w:ascii="Times New Roman" w:hAnsi="Times New Roman" w:cs="Times New Roman"/>
            <w:i/>
            <w:iCs/>
            <w:sz w:val="18"/>
            <w:szCs w:val="18"/>
          </w:rPr>
          <w:t xml:space="preserve">Strona </w:t>
        </w:r>
        <w:r w:rsidRPr="003631DE">
          <w:rPr>
            <w:rFonts w:ascii="Times New Roman" w:hAnsi="Times New Roman" w:cs="Times New Roman"/>
            <w:i/>
            <w:iCs/>
            <w:sz w:val="18"/>
            <w:szCs w:val="18"/>
          </w:rPr>
          <w:fldChar w:fldCharType="begin"/>
        </w:r>
        <w:r w:rsidRPr="003631DE">
          <w:rPr>
            <w:rFonts w:ascii="Times New Roman" w:hAnsi="Times New Roman" w:cs="Times New Roman"/>
            <w:i/>
            <w:iCs/>
            <w:sz w:val="18"/>
            <w:szCs w:val="18"/>
          </w:rPr>
          <w:instrText>PAGE   \* MERGEFORMAT</w:instrText>
        </w:r>
        <w:r w:rsidRPr="003631DE">
          <w:rPr>
            <w:rFonts w:ascii="Times New Roman" w:hAnsi="Times New Roman" w:cs="Times New Roman"/>
            <w:i/>
            <w:iCs/>
            <w:sz w:val="18"/>
            <w:szCs w:val="18"/>
          </w:rPr>
          <w:fldChar w:fldCharType="separate"/>
        </w:r>
        <w:r w:rsidR="002252DF">
          <w:rPr>
            <w:rFonts w:ascii="Times New Roman" w:hAnsi="Times New Roman" w:cs="Times New Roman"/>
            <w:i/>
            <w:iCs/>
            <w:noProof/>
            <w:sz w:val="18"/>
            <w:szCs w:val="18"/>
          </w:rPr>
          <w:t>5</w:t>
        </w:r>
        <w:r w:rsidRPr="003631DE">
          <w:rPr>
            <w:rFonts w:ascii="Times New Roman" w:hAnsi="Times New Roman" w:cs="Times New Roman"/>
            <w:i/>
            <w:iCs/>
            <w:sz w:val="18"/>
            <w:szCs w:val="18"/>
          </w:rPr>
          <w:fldChar w:fldCharType="end"/>
        </w:r>
        <w:r w:rsidRPr="003631DE">
          <w:rPr>
            <w:rFonts w:ascii="Times New Roman" w:hAnsi="Times New Roman" w:cs="Times New Roman"/>
            <w:i/>
            <w:iCs/>
            <w:sz w:val="18"/>
            <w:szCs w:val="18"/>
          </w:rPr>
          <w:t xml:space="preserve"> z </w:t>
        </w:r>
        <w:r w:rsidR="002252DF">
          <w:rPr>
            <w:rFonts w:ascii="Times New Roman" w:hAnsi="Times New Roman" w:cs="Times New Roman"/>
            <w:i/>
            <w:iCs/>
            <w:sz w:val="18"/>
            <w:szCs w:val="18"/>
          </w:rPr>
          <w:t>5</w:t>
        </w:r>
      </w:p>
    </w:sdtContent>
  </w:sdt>
  <w:p w14:paraId="28B5EEC1" w14:textId="77777777" w:rsidR="003631DE" w:rsidRDefault="003631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1C8BA" w14:textId="77777777" w:rsidR="00924F29" w:rsidRDefault="00924F29" w:rsidP="003631DE">
      <w:pPr>
        <w:spacing w:after="0" w:line="240" w:lineRule="auto"/>
      </w:pPr>
      <w:r>
        <w:separator/>
      </w:r>
    </w:p>
  </w:footnote>
  <w:footnote w:type="continuationSeparator" w:id="0">
    <w:p w14:paraId="58592702" w14:textId="77777777" w:rsidR="00924F29" w:rsidRDefault="00924F29" w:rsidP="003631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64B4"/>
    <w:multiLevelType w:val="hybridMultilevel"/>
    <w:tmpl w:val="667659AE"/>
    <w:lvl w:ilvl="0" w:tplc="8650302C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DB0E07"/>
    <w:multiLevelType w:val="hybridMultilevel"/>
    <w:tmpl w:val="2D08F628"/>
    <w:lvl w:ilvl="0" w:tplc="189EEF2C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1E1427E1"/>
    <w:multiLevelType w:val="hybridMultilevel"/>
    <w:tmpl w:val="C84216C8"/>
    <w:lvl w:ilvl="0" w:tplc="0A1659F0">
      <w:start w:val="1"/>
      <w:numFmt w:val="decimal"/>
      <w:lvlText w:val="%1."/>
      <w:lvlJc w:val="left"/>
      <w:pPr>
        <w:ind w:left="720" w:hanging="360"/>
      </w:pPr>
      <w:rPr>
        <w:rFonts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92BCC"/>
    <w:multiLevelType w:val="hybridMultilevel"/>
    <w:tmpl w:val="9564C102"/>
    <w:lvl w:ilvl="0" w:tplc="E4E6F4A0">
      <w:start w:val="1"/>
      <w:numFmt w:val="lowerLetter"/>
      <w:lvlText w:val="%1)"/>
      <w:lvlJc w:val="left"/>
      <w:pPr>
        <w:ind w:left="39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75C548F4"/>
    <w:multiLevelType w:val="hybridMultilevel"/>
    <w:tmpl w:val="1FB6E2C4"/>
    <w:lvl w:ilvl="0" w:tplc="7F3A388E">
      <w:start w:val="1"/>
      <w:numFmt w:val="decimal"/>
      <w:lvlText w:val="3.%1"/>
      <w:lvlJc w:val="left"/>
      <w:pPr>
        <w:ind w:left="3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402"/>
    <w:rsid w:val="00164137"/>
    <w:rsid w:val="002252DF"/>
    <w:rsid w:val="003631DE"/>
    <w:rsid w:val="00407402"/>
    <w:rsid w:val="005D2DF2"/>
    <w:rsid w:val="00633275"/>
    <w:rsid w:val="006959B5"/>
    <w:rsid w:val="006C622B"/>
    <w:rsid w:val="00924F29"/>
    <w:rsid w:val="00977BDB"/>
    <w:rsid w:val="00D8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FED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74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74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74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74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74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74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74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74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74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74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74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74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740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740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74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74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74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74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74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74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74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74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74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740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74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740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74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740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740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3631DE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631DE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631DE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63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1DE"/>
  </w:style>
  <w:style w:type="character" w:styleId="Hipercze">
    <w:name w:val="Hyperlink"/>
    <w:basedOn w:val="Domylnaczcionkaakapitu"/>
    <w:uiPriority w:val="99"/>
    <w:unhideWhenUsed/>
    <w:rsid w:val="003631D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631D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A7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252DF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:u w:val="singl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74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74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74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74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74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74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74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74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74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74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74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74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740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740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74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74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74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74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74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74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74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74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74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740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74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740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74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740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740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3631DE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631DE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631DE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63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1DE"/>
  </w:style>
  <w:style w:type="character" w:styleId="Hipercze">
    <w:name w:val="Hyperlink"/>
    <w:basedOn w:val="Domylnaczcionkaakapitu"/>
    <w:uiPriority w:val="99"/>
    <w:unhideWhenUsed/>
    <w:rsid w:val="003631D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631D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A7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252DF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:u w:val="singl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0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urzadzenia-sieciowe-258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1428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Gasińska-Batko</dc:creator>
  <cp:keywords/>
  <dc:description/>
  <cp:lastModifiedBy>Windows User</cp:lastModifiedBy>
  <cp:revision>5</cp:revision>
  <dcterms:created xsi:type="dcterms:W3CDTF">2026-02-05T10:07:00Z</dcterms:created>
  <dcterms:modified xsi:type="dcterms:W3CDTF">2026-02-05T21:14:00Z</dcterms:modified>
</cp:coreProperties>
</file>